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EB" w:rsidRPr="003D25EB" w:rsidRDefault="003D25EB" w:rsidP="003D25EB">
      <w:pPr>
        <w:jc w:val="center"/>
        <w:rPr>
          <w:b/>
          <w:bCs/>
          <w:sz w:val="32"/>
          <w:szCs w:val="32"/>
          <w:lang w:bidi="ar-EG"/>
        </w:rPr>
      </w:pPr>
      <w:r w:rsidRPr="003D25EB">
        <w:rPr>
          <w:b/>
          <w:bCs/>
          <w:sz w:val="32"/>
          <w:szCs w:val="32"/>
          <w:lang w:bidi="ar-EG"/>
        </w:rPr>
        <w:t xml:space="preserve">Relationship between </w:t>
      </w:r>
      <w:proofErr w:type="spellStart"/>
      <w:r w:rsidRPr="003D25EB">
        <w:rPr>
          <w:b/>
          <w:bCs/>
          <w:sz w:val="32"/>
          <w:szCs w:val="32"/>
          <w:lang w:bidi="ar-EG"/>
        </w:rPr>
        <w:t>peripapillary</w:t>
      </w:r>
      <w:proofErr w:type="spellEnd"/>
      <w:r w:rsidRPr="003D25EB">
        <w:rPr>
          <w:b/>
          <w:bCs/>
          <w:sz w:val="32"/>
          <w:szCs w:val="32"/>
          <w:lang w:bidi="ar-EG"/>
        </w:rPr>
        <w:t xml:space="preserve"> retinal nerve fiber layer and visual field severity indices in primary open angle glaucoma</w:t>
      </w:r>
    </w:p>
    <w:p w:rsidR="003D25EB" w:rsidRPr="003D25EB" w:rsidRDefault="003D25EB" w:rsidP="00060B08">
      <w:pPr>
        <w:jc w:val="center"/>
        <w:rPr>
          <w:rFonts w:asciiTheme="majorBidi" w:eastAsia="Century Gothic" w:hAnsiTheme="majorBidi" w:cstheme="majorBidi"/>
          <w:color w:val="000000"/>
          <w:lang w:eastAsia="en-US" w:bidi="ar-EG"/>
        </w:rPr>
      </w:pPr>
    </w:p>
    <w:p w:rsidR="003D25EB" w:rsidRPr="003D25EB" w:rsidRDefault="003D25EB" w:rsidP="00060B08">
      <w:pPr>
        <w:jc w:val="center"/>
        <w:rPr>
          <w:rFonts w:asciiTheme="majorBidi" w:eastAsia="Century Gothic" w:hAnsiTheme="majorBidi" w:cstheme="majorBidi"/>
          <w:color w:val="000000"/>
          <w:lang w:eastAsia="en-US" w:bidi="ar-EG"/>
        </w:rPr>
      </w:pPr>
    </w:p>
    <w:p w:rsidR="00060B08" w:rsidRPr="003D25EB" w:rsidRDefault="003D25EB" w:rsidP="003D25EB">
      <w:pPr>
        <w:jc w:val="center"/>
        <w:rPr>
          <w:rFonts w:asciiTheme="majorBidi" w:eastAsia="Century Gothic" w:hAnsiTheme="majorBidi" w:cstheme="majorBidi"/>
          <w:i/>
          <w:rtl/>
          <w:lang w:eastAsia="en-US" w:bidi="ar-EG"/>
        </w:rPr>
      </w:pPr>
      <w:proofErr w:type="spellStart"/>
      <w:r>
        <w:rPr>
          <w:rFonts w:asciiTheme="majorBidi" w:eastAsia="Century Gothic" w:hAnsiTheme="majorBidi" w:cstheme="majorBidi"/>
          <w:color w:val="000000"/>
          <w:lang w:eastAsia="en-US" w:bidi="ar-EG"/>
        </w:rPr>
        <w:t>Ismael</w:t>
      </w:r>
      <w:proofErr w:type="spellEnd"/>
      <w:r>
        <w:rPr>
          <w:rFonts w:asciiTheme="majorBidi" w:eastAsia="Century Gothic" w:hAnsiTheme="majorBidi" w:cstheme="majorBidi"/>
          <w:color w:val="000000"/>
          <w:lang w:eastAsia="en-US" w:bidi="ar-EG"/>
        </w:rPr>
        <w:t xml:space="preserve"> </w:t>
      </w:r>
      <w:proofErr w:type="spellStart"/>
      <w:r>
        <w:rPr>
          <w:rFonts w:asciiTheme="majorBidi" w:eastAsia="Century Gothic" w:hAnsiTheme="majorBidi" w:cstheme="majorBidi"/>
          <w:color w:val="000000"/>
          <w:lang w:eastAsia="en-US" w:bidi="ar-EG"/>
        </w:rPr>
        <w:t>Moussa</w:t>
      </w:r>
      <w:proofErr w:type="spellEnd"/>
      <w:r>
        <w:rPr>
          <w:rFonts w:asciiTheme="majorBidi" w:eastAsia="Century Gothic" w:hAnsiTheme="majorBidi" w:cstheme="majorBidi"/>
          <w:color w:val="000000"/>
          <w:lang w:eastAsia="en-US" w:bidi="ar-EG"/>
        </w:rPr>
        <w:t xml:space="preserve"> </w:t>
      </w:r>
      <w:proofErr w:type="spellStart"/>
      <w:r>
        <w:rPr>
          <w:rFonts w:asciiTheme="majorBidi" w:eastAsia="Century Gothic" w:hAnsiTheme="majorBidi" w:cstheme="majorBidi"/>
          <w:color w:val="000000"/>
          <w:lang w:eastAsia="en-US" w:bidi="ar-EG"/>
        </w:rPr>
        <w:t>Abdelatif</w:t>
      </w:r>
      <w:proofErr w:type="spellEnd"/>
      <w:r w:rsidR="00060B08" w:rsidRPr="0026227F">
        <w:rPr>
          <w:rFonts w:asciiTheme="majorBidi" w:eastAsia="Century Gothic" w:hAnsiTheme="majorBidi" w:cstheme="majorBidi"/>
          <w:color w:val="000000"/>
          <w:lang w:eastAsia="en-US" w:bidi="ar-EG"/>
        </w:rPr>
        <w:t xml:space="preserve">; MD, </w:t>
      </w:r>
      <w:proofErr w:type="spellStart"/>
      <w:r w:rsidR="00060B08" w:rsidRPr="0026227F">
        <w:rPr>
          <w:rFonts w:asciiTheme="majorBidi" w:eastAsia="Century Gothic" w:hAnsiTheme="majorBidi" w:cstheme="majorBidi"/>
          <w:color w:val="000000"/>
          <w:lang w:eastAsia="en-US" w:bidi="ar-EG"/>
        </w:rPr>
        <w:t>Hatem</w:t>
      </w:r>
      <w:proofErr w:type="spellEnd"/>
      <w:r w:rsidR="00060B08" w:rsidRPr="0026227F">
        <w:rPr>
          <w:rFonts w:asciiTheme="majorBidi" w:eastAsia="Century Gothic" w:hAnsiTheme="majorBidi" w:cstheme="majorBidi"/>
          <w:color w:val="000000"/>
          <w:lang w:eastAsia="en-US" w:bidi="ar-EG"/>
        </w:rPr>
        <w:t xml:space="preserve"> </w:t>
      </w:r>
      <w:proofErr w:type="spellStart"/>
      <w:r w:rsidR="00060B08" w:rsidRPr="0026227F">
        <w:rPr>
          <w:rFonts w:asciiTheme="majorBidi" w:eastAsia="Century Gothic" w:hAnsiTheme="majorBidi" w:cstheme="majorBidi"/>
          <w:color w:val="000000"/>
          <w:lang w:eastAsia="en-US" w:bidi="ar-EG"/>
        </w:rPr>
        <w:t>Gamal</w:t>
      </w:r>
      <w:proofErr w:type="spellEnd"/>
      <w:r w:rsidR="00060B08" w:rsidRPr="0026227F">
        <w:rPr>
          <w:rFonts w:asciiTheme="majorBidi" w:eastAsia="Century Gothic" w:hAnsiTheme="majorBidi" w:cstheme="majorBidi"/>
          <w:color w:val="000000"/>
          <w:lang w:eastAsia="en-US" w:bidi="ar-EG"/>
        </w:rPr>
        <w:t xml:space="preserve"> Ammar</w:t>
      </w:r>
      <w:r w:rsidR="00060B08" w:rsidRPr="0026227F">
        <w:rPr>
          <w:rFonts w:asciiTheme="majorBidi" w:eastAsia="Century Gothic" w:hAnsiTheme="majorBidi" w:cstheme="majorBidi"/>
          <w:color w:val="000000"/>
          <w:vertAlign w:val="superscript"/>
          <w:lang w:eastAsia="en-US" w:bidi="ar-EG"/>
        </w:rPr>
        <w:t>1</w:t>
      </w:r>
      <w:r w:rsidR="00060B08" w:rsidRPr="0026227F">
        <w:rPr>
          <w:rFonts w:asciiTheme="majorBidi" w:eastAsia="Century Gothic" w:hAnsiTheme="majorBidi" w:cstheme="majorBidi"/>
          <w:color w:val="000000"/>
          <w:lang w:eastAsia="en-US" w:bidi="ar-EG"/>
        </w:rPr>
        <w:t xml:space="preserve">; MD, </w:t>
      </w:r>
      <w:r>
        <w:rPr>
          <w:rFonts w:asciiTheme="majorBidi" w:eastAsia="Century Gothic" w:hAnsiTheme="majorBidi" w:cstheme="majorBidi"/>
          <w:iCs/>
          <w:lang w:eastAsia="en-US" w:bidi="ar-EG"/>
        </w:rPr>
        <w:t xml:space="preserve">Mohammed </w:t>
      </w:r>
      <w:proofErr w:type="spellStart"/>
      <w:r>
        <w:rPr>
          <w:rFonts w:asciiTheme="majorBidi" w:eastAsia="Century Gothic" w:hAnsiTheme="majorBidi" w:cstheme="majorBidi"/>
          <w:iCs/>
          <w:lang w:eastAsia="en-US" w:bidi="ar-EG"/>
        </w:rPr>
        <w:t>Ezz</w:t>
      </w:r>
      <w:proofErr w:type="spellEnd"/>
      <w:r>
        <w:rPr>
          <w:rFonts w:asciiTheme="majorBidi" w:eastAsia="Century Gothic" w:hAnsiTheme="majorBidi" w:cstheme="majorBidi"/>
          <w:iCs/>
          <w:lang w:eastAsia="en-US" w:bidi="ar-EG"/>
        </w:rPr>
        <w:t xml:space="preserve"> </w:t>
      </w:r>
      <w:proofErr w:type="spellStart"/>
      <w:r>
        <w:rPr>
          <w:rFonts w:asciiTheme="majorBidi" w:eastAsia="Century Gothic" w:hAnsiTheme="majorBidi" w:cstheme="majorBidi"/>
          <w:iCs/>
          <w:lang w:eastAsia="en-US" w:bidi="ar-EG"/>
        </w:rPr>
        <w:t>Eldawla</w:t>
      </w:r>
      <w:proofErr w:type="spellEnd"/>
      <w:r>
        <w:rPr>
          <w:rFonts w:asciiTheme="majorBidi" w:eastAsia="Century Gothic" w:hAnsiTheme="majorBidi" w:cstheme="majorBidi"/>
          <w:iCs/>
          <w:lang w:eastAsia="en-US" w:bidi="ar-EG"/>
        </w:rPr>
        <w:t xml:space="preserve"> </w:t>
      </w:r>
      <w:proofErr w:type="spellStart"/>
      <w:r>
        <w:rPr>
          <w:rFonts w:asciiTheme="majorBidi" w:eastAsia="Century Gothic" w:hAnsiTheme="majorBidi" w:cstheme="majorBidi"/>
          <w:iCs/>
          <w:lang w:eastAsia="en-US" w:bidi="ar-EG"/>
        </w:rPr>
        <w:t>Gaber</w:t>
      </w:r>
      <w:proofErr w:type="gramStart"/>
      <w:r>
        <w:rPr>
          <w:rFonts w:asciiTheme="majorBidi" w:eastAsia="Century Gothic" w:hAnsiTheme="majorBidi" w:cstheme="majorBidi"/>
          <w:iCs/>
          <w:lang w:eastAsia="en-US" w:bidi="ar-EG"/>
        </w:rPr>
        <w:t>,MD</w:t>
      </w:r>
      <w:proofErr w:type="spellEnd"/>
      <w:proofErr w:type="gramEnd"/>
      <w:r>
        <w:rPr>
          <w:rFonts w:asciiTheme="majorBidi" w:eastAsia="Century Gothic" w:hAnsiTheme="majorBidi" w:cstheme="majorBidi"/>
          <w:iCs/>
          <w:lang w:eastAsia="en-US" w:bidi="ar-EG"/>
        </w:rPr>
        <w:t xml:space="preserve">, Sarah </w:t>
      </w:r>
      <w:proofErr w:type="spellStart"/>
      <w:r>
        <w:rPr>
          <w:rFonts w:asciiTheme="majorBidi" w:eastAsia="Century Gothic" w:hAnsiTheme="majorBidi" w:cstheme="majorBidi"/>
          <w:iCs/>
          <w:lang w:eastAsia="en-US" w:bidi="ar-EG"/>
        </w:rPr>
        <w:t>Salah,BBCH</w:t>
      </w:r>
      <w:proofErr w:type="spellEnd"/>
      <w:r>
        <w:rPr>
          <w:rFonts w:asciiTheme="majorBidi" w:eastAsia="Century Gothic" w:hAnsiTheme="majorBidi" w:cstheme="majorBidi" w:hint="cs"/>
          <w:iCs/>
          <w:rtl/>
          <w:lang w:eastAsia="en-US" w:bidi="ar-EG"/>
        </w:rPr>
        <w:t xml:space="preserve"> </w:t>
      </w:r>
      <w:r>
        <w:rPr>
          <w:rFonts w:asciiTheme="majorBidi" w:eastAsia="Century Gothic" w:hAnsiTheme="majorBidi" w:cstheme="majorBidi"/>
          <w:iCs/>
          <w:lang w:eastAsia="en-US" w:bidi="ar-EG"/>
        </w:rPr>
        <w:t xml:space="preserve"> </w:t>
      </w:r>
    </w:p>
    <w:p w:rsidR="00060B08" w:rsidRPr="0026227F" w:rsidRDefault="00060B08" w:rsidP="00060B08">
      <w:pPr>
        <w:jc w:val="center"/>
        <w:rPr>
          <w:rFonts w:asciiTheme="majorBidi" w:eastAsia="Century Gothic" w:hAnsiTheme="majorBidi" w:cstheme="majorBidi"/>
          <w:b/>
          <w:bCs/>
          <w:iCs/>
          <w:lang w:eastAsia="en-US" w:bidi="ar-EG"/>
        </w:rPr>
      </w:pPr>
    </w:p>
    <w:p w:rsidR="00060B08" w:rsidRPr="0026227F" w:rsidRDefault="00060B08" w:rsidP="00060B08">
      <w:pPr>
        <w:jc w:val="center"/>
        <w:rPr>
          <w:rFonts w:asciiTheme="majorBidi" w:eastAsia="Century Gothic" w:hAnsiTheme="majorBidi" w:cstheme="majorBidi"/>
          <w:iCs/>
          <w:lang w:eastAsia="en-US" w:bidi="ar-EG"/>
        </w:rPr>
      </w:pPr>
      <w:r w:rsidRPr="0026227F">
        <w:rPr>
          <w:rFonts w:asciiTheme="majorBidi" w:eastAsia="Century Gothic" w:hAnsiTheme="majorBidi" w:cstheme="majorBidi"/>
          <w:iCs/>
          <w:lang w:eastAsia="en-US" w:bidi="ar-EG"/>
        </w:rPr>
        <w:t xml:space="preserve">1 Ophthalmology Department, </w:t>
      </w:r>
      <w:proofErr w:type="spellStart"/>
      <w:r w:rsidRPr="0026227F">
        <w:rPr>
          <w:rFonts w:asciiTheme="majorBidi" w:eastAsia="Century Gothic" w:hAnsiTheme="majorBidi" w:cstheme="majorBidi"/>
          <w:iCs/>
          <w:lang w:eastAsia="en-US" w:bidi="ar-EG"/>
        </w:rPr>
        <w:t>Sohag</w:t>
      </w:r>
      <w:proofErr w:type="spellEnd"/>
      <w:r w:rsidRPr="0026227F">
        <w:rPr>
          <w:rFonts w:asciiTheme="majorBidi" w:eastAsia="Century Gothic" w:hAnsiTheme="majorBidi" w:cstheme="majorBidi"/>
          <w:iCs/>
          <w:lang w:eastAsia="en-US" w:bidi="ar-EG"/>
        </w:rPr>
        <w:t xml:space="preserve"> Faculty of Medicine, </w:t>
      </w:r>
      <w:proofErr w:type="spellStart"/>
      <w:r w:rsidRPr="0026227F">
        <w:rPr>
          <w:rFonts w:asciiTheme="majorBidi" w:eastAsia="Century Gothic" w:hAnsiTheme="majorBidi" w:cstheme="majorBidi"/>
          <w:iCs/>
          <w:lang w:eastAsia="en-US" w:bidi="ar-EG"/>
        </w:rPr>
        <w:t>Sohag</w:t>
      </w:r>
      <w:proofErr w:type="spellEnd"/>
      <w:r w:rsidRPr="0026227F">
        <w:rPr>
          <w:rFonts w:asciiTheme="majorBidi" w:eastAsia="Century Gothic" w:hAnsiTheme="majorBidi" w:cstheme="majorBidi"/>
          <w:iCs/>
          <w:lang w:eastAsia="en-US" w:bidi="ar-EG"/>
        </w:rPr>
        <w:t xml:space="preserve"> University, Egypt.</w:t>
      </w:r>
    </w:p>
    <w:p w:rsidR="00060B08" w:rsidRPr="0026227F" w:rsidRDefault="00060B08" w:rsidP="00060B08">
      <w:pPr>
        <w:jc w:val="center"/>
        <w:rPr>
          <w:rFonts w:asciiTheme="majorBidi" w:eastAsia="Century Gothic" w:hAnsiTheme="majorBidi" w:cstheme="majorBidi"/>
          <w:iCs/>
          <w:lang w:eastAsia="en-US" w:bidi="ar-EG"/>
        </w:rPr>
      </w:pPr>
      <w:r w:rsidRPr="0026227F">
        <w:rPr>
          <w:rFonts w:asciiTheme="majorBidi" w:eastAsia="Century Gothic" w:hAnsiTheme="majorBidi" w:cstheme="majorBidi"/>
          <w:iCs/>
          <w:lang w:eastAsia="en-US" w:bidi="ar-EG"/>
        </w:rPr>
        <w:t>C</w:t>
      </w:r>
      <w:r w:rsidR="003D25EB">
        <w:rPr>
          <w:rFonts w:asciiTheme="majorBidi" w:eastAsia="Century Gothic" w:hAnsiTheme="majorBidi" w:cstheme="majorBidi"/>
          <w:iCs/>
          <w:lang w:eastAsia="en-US" w:bidi="ar-EG"/>
        </w:rPr>
        <w:t xml:space="preserve">orresponding author; Sara </w:t>
      </w:r>
      <w:proofErr w:type="spellStart"/>
      <w:r w:rsidR="003D25EB">
        <w:rPr>
          <w:rFonts w:asciiTheme="majorBidi" w:eastAsia="Century Gothic" w:hAnsiTheme="majorBidi" w:cstheme="majorBidi"/>
          <w:iCs/>
          <w:lang w:eastAsia="en-US" w:bidi="ar-EG"/>
        </w:rPr>
        <w:t>Salah</w:t>
      </w:r>
      <w:proofErr w:type="spellEnd"/>
      <w:r w:rsidR="003D25EB">
        <w:rPr>
          <w:rFonts w:asciiTheme="majorBidi" w:eastAsia="Century Gothic" w:hAnsiTheme="majorBidi" w:cstheme="majorBidi"/>
          <w:iCs/>
          <w:lang w:eastAsia="en-US" w:bidi="ar-EG"/>
        </w:rPr>
        <w:t xml:space="preserve"> </w:t>
      </w:r>
      <w:proofErr w:type="spellStart"/>
      <w:r w:rsidR="003D25EB">
        <w:rPr>
          <w:rFonts w:asciiTheme="majorBidi" w:eastAsia="Century Gothic" w:hAnsiTheme="majorBidi" w:cstheme="majorBidi"/>
          <w:iCs/>
          <w:lang w:eastAsia="en-US" w:bidi="ar-EG"/>
        </w:rPr>
        <w:t>Eldin</w:t>
      </w:r>
      <w:proofErr w:type="spellEnd"/>
      <w:r w:rsidR="003D25EB">
        <w:rPr>
          <w:rFonts w:asciiTheme="majorBidi" w:eastAsia="Century Gothic" w:hAnsiTheme="majorBidi" w:cstheme="majorBidi"/>
          <w:iCs/>
          <w:lang w:eastAsia="en-US" w:bidi="ar-EG"/>
        </w:rPr>
        <w:t xml:space="preserve"> </w:t>
      </w:r>
      <w:proofErr w:type="spellStart"/>
      <w:r w:rsidR="003D25EB">
        <w:rPr>
          <w:rFonts w:asciiTheme="majorBidi" w:eastAsia="Century Gothic" w:hAnsiTheme="majorBidi" w:cstheme="majorBidi"/>
          <w:iCs/>
          <w:lang w:eastAsia="en-US" w:bidi="ar-EG"/>
        </w:rPr>
        <w:t>Mahmoud</w:t>
      </w:r>
      <w:proofErr w:type="spellEnd"/>
    </w:p>
    <w:p w:rsidR="00060B08" w:rsidRPr="0026227F" w:rsidRDefault="00060B08" w:rsidP="00060B08">
      <w:pPr>
        <w:jc w:val="center"/>
        <w:rPr>
          <w:rFonts w:asciiTheme="majorBidi" w:eastAsia="Century Gothic" w:hAnsiTheme="majorBidi" w:cstheme="majorBidi"/>
          <w:iCs/>
          <w:lang w:eastAsia="en-US" w:bidi="ar-EG"/>
        </w:rPr>
      </w:pPr>
      <w:proofErr w:type="gramStart"/>
      <w:r w:rsidRPr="0026227F">
        <w:rPr>
          <w:rFonts w:asciiTheme="majorBidi" w:eastAsia="Century Gothic" w:hAnsiTheme="majorBidi" w:cstheme="majorBidi"/>
          <w:iCs/>
          <w:lang w:eastAsia="en-US" w:bidi="ar-EG"/>
        </w:rPr>
        <w:t xml:space="preserve">Ophthalmology Department, </w:t>
      </w:r>
      <w:proofErr w:type="spellStart"/>
      <w:r w:rsidRPr="0026227F">
        <w:rPr>
          <w:rFonts w:asciiTheme="majorBidi" w:eastAsia="Century Gothic" w:hAnsiTheme="majorBidi" w:cstheme="majorBidi"/>
          <w:iCs/>
          <w:lang w:eastAsia="en-US" w:bidi="ar-EG"/>
        </w:rPr>
        <w:t>Sohag</w:t>
      </w:r>
      <w:proofErr w:type="spellEnd"/>
      <w:r w:rsidRPr="0026227F">
        <w:rPr>
          <w:rFonts w:asciiTheme="majorBidi" w:eastAsia="Century Gothic" w:hAnsiTheme="majorBidi" w:cstheme="majorBidi"/>
          <w:iCs/>
          <w:lang w:eastAsia="en-US" w:bidi="ar-EG"/>
        </w:rPr>
        <w:t xml:space="preserve"> Faculty of Medicine, </w:t>
      </w:r>
      <w:proofErr w:type="spellStart"/>
      <w:r w:rsidRPr="0026227F">
        <w:rPr>
          <w:rFonts w:asciiTheme="majorBidi" w:eastAsia="Century Gothic" w:hAnsiTheme="majorBidi" w:cstheme="majorBidi"/>
          <w:iCs/>
          <w:lang w:eastAsia="en-US" w:bidi="ar-EG"/>
        </w:rPr>
        <w:t>Sohag</w:t>
      </w:r>
      <w:proofErr w:type="spellEnd"/>
      <w:r w:rsidRPr="0026227F">
        <w:rPr>
          <w:rFonts w:asciiTheme="majorBidi" w:eastAsia="Century Gothic" w:hAnsiTheme="majorBidi" w:cstheme="majorBidi"/>
          <w:iCs/>
          <w:lang w:eastAsia="en-US" w:bidi="ar-EG"/>
        </w:rPr>
        <w:t xml:space="preserve"> University, Egypt.</w:t>
      </w:r>
      <w:proofErr w:type="gramEnd"/>
    </w:p>
    <w:p w:rsidR="00060B08" w:rsidRPr="0026227F" w:rsidRDefault="00060B08" w:rsidP="003D25EB">
      <w:pPr>
        <w:jc w:val="center"/>
        <w:rPr>
          <w:rFonts w:asciiTheme="majorBidi" w:eastAsia="Century Gothic" w:hAnsiTheme="majorBidi" w:cstheme="majorBidi"/>
          <w:iCs/>
          <w:rtl/>
          <w:lang w:eastAsia="en-US" w:bidi="ar-EG"/>
        </w:rPr>
      </w:pPr>
      <w:r w:rsidRPr="0026227F">
        <w:rPr>
          <w:rFonts w:asciiTheme="majorBidi" w:eastAsia="Century Gothic" w:hAnsiTheme="majorBidi" w:cstheme="majorBidi"/>
          <w:iCs/>
          <w:lang w:eastAsia="en-US" w:bidi="ar-EG"/>
        </w:rPr>
        <w:t>Tel: +20/10</w:t>
      </w:r>
      <w:r w:rsidR="003D25EB">
        <w:rPr>
          <w:rFonts w:asciiTheme="majorBidi" w:eastAsia="Century Gothic" w:hAnsiTheme="majorBidi" w:cstheme="majorBidi"/>
          <w:iCs/>
          <w:lang w:eastAsia="en-US" w:bidi="ar-EG"/>
        </w:rPr>
        <w:t>03031509</w:t>
      </w:r>
    </w:p>
    <w:p w:rsidR="00060B08" w:rsidRDefault="00060B08" w:rsidP="003D25EB">
      <w:pPr>
        <w:jc w:val="center"/>
        <w:rPr>
          <w:rFonts w:asciiTheme="majorBidi" w:eastAsia="Century Gothic" w:hAnsiTheme="majorBidi" w:cstheme="majorBidi"/>
          <w:iCs/>
          <w:lang w:eastAsia="en-US" w:bidi="ar-EG"/>
        </w:rPr>
      </w:pPr>
      <w:r w:rsidRPr="0026227F">
        <w:rPr>
          <w:rFonts w:asciiTheme="majorBidi" w:eastAsia="Century Gothic" w:hAnsiTheme="majorBidi" w:cstheme="majorBidi"/>
          <w:iCs/>
          <w:lang w:eastAsia="en-US" w:bidi="ar-EG"/>
        </w:rPr>
        <w:t xml:space="preserve">Email: </w:t>
      </w:r>
      <w:proofErr w:type="spellStart"/>
      <w:r w:rsidR="003D25EB">
        <w:rPr>
          <w:rFonts w:asciiTheme="majorBidi" w:eastAsia="Century Gothic" w:hAnsiTheme="majorBidi" w:cstheme="majorBidi"/>
          <w:iCs/>
          <w:lang w:eastAsia="en-US" w:bidi="ar-EG"/>
        </w:rPr>
        <w:t>SaraSalah</w:t>
      </w:r>
      <w:proofErr w:type="spellEnd"/>
      <w:r w:rsidR="003D25EB">
        <w:rPr>
          <w:rFonts w:asciiTheme="majorBidi" w:eastAsia="Century Gothic" w:hAnsiTheme="majorBidi" w:cstheme="majorBidi"/>
          <w:iCs/>
          <w:lang w:eastAsia="en-US" w:bidi="ar-EG"/>
        </w:rPr>
        <w:t xml:space="preserve"> </w:t>
      </w:r>
      <w:hyperlink r:id="rId5" w:history="1">
        <w:r w:rsidR="00EA2DB4" w:rsidRPr="0067354D">
          <w:rPr>
            <w:rStyle w:val="Hyperlink"/>
            <w:rFonts w:asciiTheme="majorBidi" w:eastAsia="Century Gothic" w:hAnsiTheme="majorBidi" w:cstheme="majorBidi"/>
            <w:iCs/>
            <w:lang w:eastAsia="en-US" w:bidi="ar-EG"/>
          </w:rPr>
          <w:t>77666@gmail.com</w:t>
        </w:r>
      </w:hyperlink>
      <w:r w:rsidR="003D25EB">
        <w:rPr>
          <w:rFonts w:asciiTheme="majorBidi" w:eastAsia="Century Gothic" w:hAnsiTheme="majorBidi" w:cstheme="majorBidi"/>
          <w:iCs/>
          <w:lang w:eastAsia="en-US" w:bidi="ar-EG"/>
        </w:rPr>
        <w:t xml:space="preserve"> </w:t>
      </w: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Default="00EA2DB4" w:rsidP="003D25EB">
      <w:pPr>
        <w:jc w:val="center"/>
        <w:rPr>
          <w:rFonts w:asciiTheme="majorBidi" w:eastAsia="Century Gothic" w:hAnsiTheme="majorBidi" w:cstheme="majorBidi"/>
          <w:iCs/>
          <w:lang w:eastAsia="en-US" w:bidi="ar-EG"/>
        </w:rPr>
      </w:pPr>
    </w:p>
    <w:p w:rsidR="00EA2DB4" w:rsidRPr="0026227F" w:rsidRDefault="00EA2DB4" w:rsidP="003D25EB">
      <w:pPr>
        <w:jc w:val="center"/>
        <w:rPr>
          <w:rFonts w:asciiTheme="majorBidi" w:eastAsia="Century Gothic" w:hAnsiTheme="majorBidi" w:cstheme="majorBidi"/>
          <w:iCs/>
          <w:rtl/>
          <w:lang w:eastAsia="en-US" w:bidi="ar-EG"/>
        </w:rPr>
      </w:pPr>
    </w:p>
    <w:p w:rsidR="003D25EB" w:rsidRDefault="003D25EB" w:rsidP="003D25EB">
      <w:pPr>
        <w:spacing w:line="360" w:lineRule="auto"/>
        <w:jc w:val="right"/>
        <w:rPr>
          <w:rFonts w:asciiTheme="majorBidi" w:hAnsiTheme="majorBidi" w:cstheme="majorBidi"/>
          <w:b/>
          <w:bCs/>
          <w:sz w:val="28"/>
          <w:szCs w:val="28"/>
          <w:u w:val="dotted"/>
          <w:rtl/>
        </w:rPr>
      </w:pPr>
      <w:r w:rsidRPr="0026227F">
        <w:rPr>
          <w:rFonts w:asciiTheme="majorBidi" w:hAnsiTheme="majorBidi" w:cstheme="majorBidi"/>
          <w:b/>
          <w:bCs/>
          <w:sz w:val="28"/>
          <w:szCs w:val="28"/>
          <w:u w:val="dotted"/>
        </w:rPr>
        <w:lastRenderedPageBreak/>
        <w:t>Abstract:</w:t>
      </w:r>
    </w:p>
    <w:p w:rsidR="003D25EB" w:rsidRPr="00CE271E" w:rsidRDefault="003D25EB" w:rsidP="00CE271E">
      <w:pPr>
        <w:spacing w:line="240" w:lineRule="auto"/>
        <w:jc w:val="right"/>
        <w:rPr>
          <w:rFonts w:asciiTheme="majorBidi" w:hAnsiTheme="majorBidi" w:cstheme="majorBidi"/>
          <w:b/>
          <w:bCs/>
          <w:u w:val="dotted"/>
        </w:rPr>
      </w:pPr>
    </w:p>
    <w:p w:rsidR="00EA2DB4" w:rsidRPr="00CE271E" w:rsidRDefault="003D25EB" w:rsidP="00CE271E">
      <w:pPr>
        <w:pStyle w:val="Default"/>
        <w:jc w:val="both"/>
        <w:rPr>
          <w:rFonts w:asciiTheme="majorBidi" w:hAnsiTheme="majorBidi" w:cstheme="majorBidi"/>
          <w:sz w:val="22"/>
          <w:szCs w:val="22"/>
          <w:lang w:bidi="ar-EG"/>
        </w:rPr>
      </w:pPr>
      <w:r w:rsidRPr="00CE271E">
        <w:rPr>
          <w:rFonts w:asciiTheme="majorBidi" w:hAnsiTheme="majorBidi" w:cstheme="majorBidi"/>
          <w:sz w:val="22"/>
          <w:szCs w:val="22"/>
        </w:rPr>
        <w:t xml:space="preserve">Background: </w:t>
      </w:r>
      <w:r w:rsidR="00EA2DB4" w:rsidRPr="00CE271E">
        <w:rPr>
          <w:rFonts w:asciiTheme="majorBidi" w:hAnsiTheme="majorBidi" w:cstheme="majorBidi"/>
          <w:sz w:val="22"/>
          <w:szCs w:val="22"/>
        </w:rPr>
        <w:t>Optical Coherence Tomography (OCT) and visual field (VF) are</w:t>
      </w:r>
      <w:r w:rsidRPr="00CE271E">
        <w:rPr>
          <w:rFonts w:asciiTheme="majorBidi" w:hAnsiTheme="majorBidi" w:cstheme="majorBidi"/>
          <w:sz w:val="22"/>
          <w:szCs w:val="22"/>
        </w:rPr>
        <w:t xml:space="preserve"> device</w:t>
      </w:r>
      <w:r w:rsidR="00EA2DB4" w:rsidRPr="00CE271E">
        <w:rPr>
          <w:rFonts w:asciiTheme="majorBidi" w:hAnsiTheme="majorBidi" w:cstheme="majorBidi"/>
          <w:sz w:val="22"/>
          <w:szCs w:val="22"/>
        </w:rPr>
        <w:t>s</w:t>
      </w:r>
      <w:r w:rsidRPr="00CE271E">
        <w:rPr>
          <w:rFonts w:asciiTheme="majorBidi" w:hAnsiTheme="majorBidi" w:cstheme="majorBidi"/>
          <w:sz w:val="22"/>
          <w:szCs w:val="22"/>
        </w:rPr>
        <w:t xml:space="preserve"> for </w:t>
      </w:r>
      <w:r w:rsidR="00EA2DB4" w:rsidRPr="00CE271E">
        <w:rPr>
          <w:rFonts w:asciiTheme="majorBidi" w:hAnsiTheme="majorBidi" w:cstheme="majorBidi"/>
          <w:sz w:val="22"/>
          <w:szCs w:val="22"/>
        </w:rPr>
        <w:t>diagnosis and management of glaucoma</w:t>
      </w:r>
      <w:r w:rsidRPr="00CE271E">
        <w:rPr>
          <w:rFonts w:asciiTheme="majorBidi" w:hAnsiTheme="majorBidi" w:cstheme="majorBidi"/>
          <w:sz w:val="22"/>
          <w:szCs w:val="22"/>
        </w:rPr>
        <w:t xml:space="preserve">. Using </w:t>
      </w:r>
      <w:r w:rsidR="00EA2DB4" w:rsidRPr="00CE271E">
        <w:rPr>
          <w:rFonts w:asciiTheme="majorBidi" w:hAnsiTheme="majorBidi" w:cstheme="majorBidi"/>
          <w:sz w:val="22"/>
          <w:szCs w:val="22"/>
        </w:rPr>
        <w:t xml:space="preserve">both </w:t>
      </w:r>
      <w:r w:rsidRPr="00CE271E">
        <w:rPr>
          <w:rFonts w:asciiTheme="majorBidi" w:hAnsiTheme="majorBidi" w:cstheme="majorBidi"/>
          <w:sz w:val="22"/>
          <w:szCs w:val="22"/>
        </w:rPr>
        <w:t>technique</w:t>
      </w:r>
      <w:r w:rsidR="00EA2DB4" w:rsidRPr="00CE271E">
        <w:rPr>
          <w:rFonts w:asciiTheme="majorBidi" w:hAnsiTheme="majorBidi" w:cstheme="majorBidi"/>
          <w:sz w:val="22"/>
          <w:szCs w:val="22"/>
        </w:rPr>
        <w:t>s</w:t>
      </w:r>
      <w:r w:rsidRPr="00CE271E">
        <w:rPr>
          <w:rFonts w:asciiTheme="majorBidi" w:hAnsiTheme="majorBidi" w:cstheme="majorBidi"/>
          <w:sz w:val="22"/>
          <w:szCs w:val="22"/>
        </w:rPr>
        <w:t xml:space="preserve"> enable us to detect </w:t>
      </w:r>
      <w:r w:rsidR="00EA2DB4" w:rsidRPr="00CE271E">
        <w:rPr>
          <w:rFonts w:asciiTheme="majorBidi" w:hAnsiTheme="majorBidi" w:cstheme="majorBidi"/>
          <w:sz w:val="22"/>
          <w:szCs w:val="22"/>
        </w:rPr>
        <w:t xml:space="preserve">the functional and anatomical changes occur in glaucomatous eyes. </w:t>
      </w:r>
      <w:r w:rsidRPr="00CE271E">
        <w:rPr>
          <w:rFonts w:asciiTheme="majorBidi" w:hAnsiTheme="majorBidi" w:cstheme="majorBidi"/>
          <w:sz w:val="22"/>
          <w:szCs w:val="22"/>
        </w:rPr>
        <w:t>Objectives: In this study,</w:t>
      </w:r>
      <w:r w:rsidRPr="00CE271E">
        <w:rPr>
          <w:rFonts w:asciiTheme="majorBidi" w:hAnsiTheme="majorBidi" w:cstheme="majorBidi"/>
          <w:bCs/>
          <w:sz w:val="22"/>
          <w:szCs w:val="22"/>
        </w:rPr>
        <w:t xml:space="preserve"> </w:t>
      </w:r>
      <w:r w:rsidR="00EA2DB4" w:rsidRPr="00CE271E">
        <w:rPr>
          <w:rFonts w:asciiTheme="majorBidi" w:hAnsiTheme="majorBidi" w:cstheme="majorBidi"/>
          <w:sz w:val="22"/>
          <w:szCs w:val="22"/>
          <w:lang w:bidi="ar-EG"/>
        </w:rPr>
        <w:t xml:space="preserve">we aimed to determine the relationship between optical coherence tomography (OCT) parameters and visual field severity indices computed by standard automated </w:t>
      </w:r>
      <w:proofErr w:type="spellStart"/>
      <w:r w:rsidR="00EA2DB4" w:rsidRPr="00CE271E">
        <w:rPr>
          <w:rFonts w:asciiTheme="majorBidi" w:hAnsiTheme="majorBidi" w:cstheme="majorBidi"/>
          <w:sz w:val="22"/>
          <w:szCs w:val="22"/>
          <w:lang w:bidi="ar-EG"/>
        </w:rPr>
        <w:t>perimetry</w:t>
      </w:r>
      <w:proofErr w:type="spellEnd"/>
      <w:r w:rsidR="00EA2DB4" w:rsidRPr="00CE271E">
        <w:rPr>
          <w:rFonts w:asciiTheme="majorBidi" w:hAnsiTheme="majorBidi" w:cstheme="majorBidi"/>
          <w:sz w:val="22"/>
          <w:szCs w:val="22"/>
          <w:lang w:bidi="ar-EG"/>
        </w:rPr>
        <w:t xml:space="preserve"> (SAP) in patients with primary open angle glaucoma and to know the correlation between OCT disc parameter and ganglion cell layer (GCL). </w:t>
      </w:r>
    </w:p>
    <w:p w:rsidR="003D25EB" w:rsidRPr="00CE271E" w:rsidRDefault="003D25EB" w:rsidP="00CE271E">
      <w:pPr>
        <w:bidi w:val="0"/>
        <w:spacing w:line="240" w:lineRule="auto"/>
        <w:rPr>
          <w:rFonts w:asciiTheme="majorBidi" w:hAnsiTheme="majorBidi" w:cstheme="majorBidi"/>
        </w:rPr>
      </w:pPr>
      <w:r w:rsidRPr="00CE271E">
        <w:rPr>
          <w:rFonts w:asciiTheme="majorBidi" w:hAnsiTheme="majorBidi" w:cstheme="majorBidi"/>
        </w:rPr>
        <w:t xml:space="preserve">Methods: </w:t>
      </w:r>
      <w:r w:rsidR="00DD7DD0" w:rsidRPr="00CE271E">
        <w:rPr>
          <w:rFonts w:asciiTheme="majorBidi" w:hAnsiTheme="majorBidi" w:cstheme="majorBidi"/>
        </w:rPr>
        <w:t>The</w:t>
      </w:r>
      <w:r w:rsidR="00EA2DB4" w:rsidRPr="00CE271E">
        <w:rPr>
          <w:rFonts w:asciiTheme="majorBidi" w:hAnsiTheme="majorBidi" w:cstheme="majorBidi"/>
        </w:rPr>
        <w:t xml:space="preserve"> study included 94 subjects (160 eyes) divided into two groups.</w:t>
      </w:r>
      <w:r w:rsidR="00DD7DD0" w:rsidRPr="00CE271E">
        <w:rPr>
          <w:rFonts w:asciiTheme="majorBidi" w:hAnsiTheme="majorBidi" w:cstheme="majorBidi"/>
          <w:b/>
          <w:bCs/>
        </w:rPr>
        <w:t xml:space="preserve"> Group</w:t>
      </w:r>
      <w:r w:rsidR="00CE271E">
        <w:rPr>
          <w:rFonts w:asciiTheme="majorBidi" w:hAnsiTheme="majorBidi" w:cstheme="majorBidi"/>
          <w:b/>
          <w:bCs/>
        </w:rPr>
        <w:t>1</w:t>
      </w:r>
      <w:r w:rsidR="00DD7DD0" w:rsidRPr="00CE271E">
        <w:rPr>
          <w:rFonts w:asciiTheme="majorBidi" w:hAnsiTheme="majorBidi" w:cstheme="majorBidi"/>
          <w:b/>
          <w:bCs/>
        </w:rPr>
        <w:t xml:space="preserve"> </w:t>
      </w:r>
      <w:r w:rsidR="00DD7DD0" w:rsidRPr="00CE271E">
        <w:rPr>
          <w:rFonts w:asciiTheme="majorBidi" w:hAnsiTheme="majorBidi" w:cstheme="majorBidi"/>
        </w:rPr>
        <w:t xml:space="preserve">included 54 subjects with primary open angle glaucoma </w:t>
      </w:r>
      <w:r w:rsidR="00DD7DD0" w:rsidRPr="00CE271E">
        <w:rPr>
          <w:rFonts w:asciiTheme="majorBidi" w:hAnsiTheme="majorBidi" w:cstheme="majorBidi"/>
          <w:u w:val="single"/>
        </w:rPr>
        <w:t>(cases)</w:t>
      </w:r>
      <w:r w:rsidR="00DD7DD0" w:rsidRPr="00CE271E">
        <w:rPr>
          <w:rFonts w:asciiTheme="majorBidi" w:hAnsiTheme="majorBidi" w:cstheme="majorBidi"/>
        </w:rPr>
        <w:t xml:space="preserve"> (92 eyes) </w:t>
      </w:r>
      <w:r w:rsidR="00DD7DD0" w:rsidRPr="00CE271E">
        <w:rPr>
          <w:rFonts w:asciiTheme="majorBidi" w:hAnsiTheme="majorBidi" w:cstheme="majorBidi"/>
          <w:b/>
          <w:bCs/>
        </w:rPr>
        <w:t>Group 2</w:t>
      </w:r>
      <w:r w:rsidR="00DD7DD0" w:rsidRPr="00CE271E">
        <w:rPr>
          <w:rFonts w:asciiTheme="majorBidi" w:hAnsiTheme="majorBidi" w:cstheme="majorBidi"/>
        </w:rPr>
        <w:t xml:space="preserve"> included 40 healthy non-glaucomatous subjects </w:t>
      </w:r>
      <w:r w:rsidR="00DD7DD0" w:rsidRPr="00CE271E">
        <w:rPr>
          <w:rFonts w:asciiTheme="majorBidi" w:hAnsiTheme="majorBidi" w:cstheme="majorBidi"/>
          <w:u w:val="single"/>
        </w:rPr>
        <w:t>(controls)</w:t>
      </w:r>
      <w:r w:rsidR="00DD7DD0" w:rsidRPr="00CE271E">
        <w:rPr>
          <w:rFonts w:asciiTheme="majorBidi" w:hAnsiTheme="majorBidi" w:cstheme="majorBidi"/>
        </w:rPr>
        <w:t xml:space="preserve"> (68eyes).OCT disc &amp;macula and VF using </w:t>
      </w:r>
      <w:proofErr w:type="spellStart"/>
      <w:r w:rsidR="00DD7DD0" w:rsidRPr="00CE271E">
        <w:rPr>
          <w:rFonts w:asciiTheme="majorBidi" w:hAnsiTheme="majorBidi" w:cstheme="majorBidi"/>
        </w:rPr>
        <w:t>standarded</w:t>
      </w:r>
      <w:proofErr w:type="spellEnd"/>
      <w:r w:rsidR="00DD7DD0" w:rsidRPr="00CE271E">
        <w:rPr>
          <w:rFonts w:asciiTheme="majorBidi" w:hAnsiTheme="majorBidi" w:cstheme="majorBidi"/>
        </w:rPr>
        <w:t xml:space="preserve"> automated </w:t>
      </w:r>
      <w:proofErr w:type="spellStart"/>
      <w:r w:rsidR="00DD7DD0" w:rsidRPr="00CE271E">
        <w:rPr>
          <w:rFonts w:asciiTheme="majorBidi" w:hAnsiTheme="majorBidi" w:cstheme="majorBidi"/>
        </w:rPr>
        <w:t>perimetry</w:t>
      </w:r>
      <w:proofErr w:type="spellEnd"/>
      <w:r w:rsidR="00DD7DD0" w:rsidRPr="00CE271E">
        <w:rPr>
          <w:rFonts w:asciiTheme="majorBidi" w:hAnsiTheme="majorBidi" w:cstheme="majorBidi"/>
        </w:rPr>
        <w:t xml:space="preserve"> were performed for all participants in both groups. Correlations between OCT parameters and VF parameters and between OCT disc parameters and GCL were detected.</w:t>
      </w:r>
      <w:r w:rsidRPr="00CE271E">
        <w:rPr>
          <w:rFonts w:asciiTheme="majorBidi" w:hAnsiTheme="majorBidi" w:cstheme="majorBidi"/>
        </w:rPr>
        <w:t xml:space="preserve"> </w:t>
      </w:r>
      <w:r w:rsidR="00DD7DD0" w:rsidRPr="00CE271E">
        <w:rPr>
          <w:rFonts w:asciiTheme="majorBidi" w:hAnsiTheme="majorBidi" w:cstheme="majorBidi"/>
        </w:rPr>
        <w:t>Area under curve (AUC) was used to detect most important factor to differentiate cases from</w:t>
      </w:r>
      <w:r w:rsidR="00266DCC" w:rsidRPr="00CE271E">
        <w:rPr>
          <w:rFonts w:asciiTheme="majorBidi" w:hAnsiTheme="majorBidi" w:cstheme="majorBidi"/>
        </w:rPr>
        <w:t xml:space="preserve"> control</w:t>
      </w:r>
      <w:r w:rsidR="00DD7DD0" w:rsidRPr="00CE271E">
        <w:rPr>
          <w:rFonts w:asciiTheme="majorBidi" w:hAnsiTheme="majorBidi" w:cstheme="majorBidi"/>
        </w:rPr>
        <w:t>.</w:t>
      </w:r>
      <w:r w:rsidR="00266DCC" w:rsidRPr="00CE271E">
        <w:rPr>
          <w:rFonts w:asciiTheme="majorBidi" w:hAnsiTheme="majorBidi" w:cstheme="majorBidi"/>
        </w:rPr>
        <w:t xml:space="preserve"> </w:t>
      </w:r>
      <w:r w:rsidRPr="00CE271E">
        <w:rPr>
          <w:rFonts w:asciiTheme="majorBidi" w:hAnsiTheme="majorBidi" w:cstheme="majorBidi"/>
        </w:rPr>
        <w:t xml:space="preserve">Results: We found </w:t>
      </w:r>
      <w:r w:rsidR="00DD7DD0" w:rsidRPr="00CE271E">
        <w:rPr>
          <w:rFonts w:asciiTheme="majorBidi" w:hAnsiTheme="majorBidi" w:cstheme="majorBidi"/>
          <w:lang w:bidi="ar-EG"/>
        </w:rPr>
        <w:t xml:space="preserve">strong correlations between MD and each </w:t>
      </w:r>
      <w:proofErr w:type="gramStart"/>
      <w:r w:rsidR="00DD7DD0" w:rsidRPr="00CE271E">
        <w:rPr>
          <w:rFonts w:asciiTheme="majorBidi" w:hAnsiTheme="majorBidi" w:cstheme="majorBidi"/>
          <w:lang w:bidi="ar-EG"/>
        </w:rPr>
        <w:t>of  total</w:t>
      </w:r>
      <w:proofErr w:type="gramEnd"/>
      <w:r w:rsidR="00DD7DD0" w:rsidRPr="00CE271E">
        <w:rPr>
          <w:rFonts w:asciiTheme="majorBidi" w:hAnsiTheme="majorBidi" w:cstheme="majorBidi"/>
          <w:lang w:bidi="ar-EG"/>
        </w:rPr>
        <w:t xml:space="preserve"> , Inferior , Superior p RNFL respectively </w:t>
      </w:r>
      <w:r w:rsidR="00266DCC" w:rsidRPr="00CE271E">
        <w:rPr>
          <w:rFonts w:asciiTheme="majorBidi" w:hAnsiTheme="majorBidi" w:cstheme="majorBidi"/>
          <w:lang w:bidi="ar-EG"/>
        </w:rPr>
        <w:t xml:space="preserve">, </w:t>
      </w:r>
      <w:r w:rsidR="00DD7DD0" w:rsidRPr="00CE271E">
        <w:rPr>
          <w:rFonts w:asciiTheme="majorBidi" w:hAnsiTheme="majorBidi" w:cstheme="majorBidi"/>
          <w:lang w:bidi="ar-EG"/>
        </w:rPr>
        <w:t xml:space="preserve">PSD  is moderately correlated with total ,inferior and superior  p RNFL and vertical CDR  respectively </w:t>
      </w:r>
      <w:r w:rsidR="00266DCC" w:rsidRPr="00CE271E">
        <w:rPr>
          <w:rFonts w:asciiTheme="majorBidi" w:hAnsiTheme="majorBidi" w:cstheme="majorBidi"/>
          <w:lang w:bidi="ar-EG"/>
        </w:rPr>
        <w:t>,</w:t>
      </w:r>
      <w:r w:rsidR="00DD7DD0" w:rsidRPr="00CE271E">
        <w:rPr>
          <w:rFonts w:asciiTheme="majorBidi" w:hAnsiTheme="majorBidi" w:cstheme="majorBidi"/>
          <w:lang w:bidi="ar-EG"/>
        </w:rPr>
        <w:t xml:space="preserve">Inferior p RNFL is strongly correlated to inferior </w:t>
      </w:r>
      <w:proofErr w:type="spellStart"/>
      <w:r w:rsidR="00DD7DD0" w:rsidRPr="00CE271E">
        <w:rPr>
          <w:rFonts w:asciiTheme="majorBidi" w:hAnsiTheme="majorBidi" w:cstheme="majorBidi"/>
          <w:lang w:bidi="ar-EG"/>
        </w:rPr>
        <w:t>GCL</w:t>
      </w:r>
      <w:r w:rsidR="00266DCC" w:rsidRPr="00CE271E">
        <w:rPr>
          <w:rFonts w:asciiTheme="majorBidi" w:hAnsiTheme="majorBidi" w:cstheme="majorBidi"/>
          <w:lang w:bidi="ar-EG"/>
        </w:rPr>
        <w:t>complex</w:t>
      </w:r>
      <w:proofErr w:type="spellEnd"/>
      <w:r w:rsidR="00266DCC" w:rsidRPr="00CE271E">
        <w:rPr>
          <w:rFonts w:asciiTheme="majorBidi" w:hAnsiTheme="majorBidi" w:cstheme="majorBidi"/>
          <w:lang w:bidi="ar-EG"/>
        </w:rPr>
        <w:t>.</w:t>
      </w:r>
      <w:r w:rsidR="00DD7DD0" w:rsidRPr="00CE271E">
        <w:rPr>
          <w:rFonts w:asciiTheme="majorBidi" w:hAnsiTheme="majorBidi" w:cstheme="majorBidi"/>
        </w:rPr>
        <w:t xml:space="preserve"> Regarding the "area under curve (AUC)</w:t>
      </w:r>
      <w:proofErr w:type="gramStart"/>
      <w:r w:rsidR="00DD7DD0" w:rsidRPr="00CE271E">
        <w:rPr>
          <w:rFonts w:asciiTheme="majorBidi" w:hAnsiTheme="majorBidi" w:cstheme="majorBidi"/>
        </w:rPr>
        <w:t>" :</w:t>
      </w:r>
      <w:proofErr w:type="gramEnd"/>
      <w:r w:rsidR="00DD7DD0" w:rsidRPr="00CE271E">
        <w:rPr>
          <w:rFonts w:asciiTheme="majorBidi" w:hAnsiTheme="majorBidi" w:cstheme="majorBidi"/>
        </w:rPr>
        <w:t xml:space="preserve"> the most important factors to differentiate cases from control are in order: total GCC, followed by inferior GCC, then total p .RNFL</w:t>
      </w:r>
      <w:r w:rsidR="00266DCC" w:rsidRPr="00CE271E">
        <w:rPr>
          <w:rFonts w:asciiTheme="majorBidi" w:hAnsiTheme="majorBidi" w:cstheme="majorBidi"/>
          <w:lang w:bidi="ar-EG"/>
        </w:rPr>
        <w:t>.</w:t>
      </w:r>
      <w:r w:rsidR="00266DCC" w:rsidRPr="00CE271E">
        <w:rPr>
          <w:rFonts w:asciiTheme="majorBidi" w:hAnsiTheme="majorBidi" w:cstheme="majorBidi"/>
        </w:rPr>
        <w:t xml:space="preserve"> </w:t>
      </w:r>
      <w:proofErr w:type="gramStart"/>
      <w:r w:rsidRPr="00CE271E">
        <w:rPr>
          <w:rFonts w:asciiTheme="majorBidi" w:hAnsiTheme="majorBidi" w:cstheme="majorBidi"/>
        </w:rPr>
        <w:t>Conclusion</w:t>
      </w:r>
      <w:r w:rsidR="00266DCC" w:rsidRPr="00CE271E">
        <w:rPr>
          <w:rFonts w:asciiTheme="majorBidi" w:hAnsiTheme="majorBidi" w:cstheme="majorBidi"/>
        </w:rPr>
        <w:t xml:space="preserve"> :</w:t>
      </w:r>
      <w:proofErr w:type="gramEnd"/>
      <w:r w:rsidR="00266DCC" w:rsidRPr="00CE271E">
        <w:rPr>
          <w:rFonts w:asciiTheme="majorBidi" w:hAnsiTheme="majorBidi" w:cstheme="majorBidi"/>
        </w:rPr>
        <w:t xml:space="preserve"> macular scans may be a good alternative to p. RNFL thickness assessment for the detection of glaucoma, we should perform VF test with both macular and </w:t>
      </w:r>
      <w:proofErr w:type="spellStart"/>
      <w:r w:rsidR="00266DCC" w:rsidRPr="00CE271E">
        <w:rPr>
          <w:rFonts w:asciiTheme="majorBidi" w:hAnsiTheme="majorBidi" w:cstheme="majorBidi"/>
        </w:rPr>
        <w:t>p.RNFL</w:t>
      </w:r>
      <w:proofErr w:type="spellEnd"/>
      <w:r w:rsidR="00266DCC" w:rsidRPr="00CE271E">
        <w:rPr>
          <w:rFonts w:asciiTheme="majorBidi" w:hAnsiTheme="majorBidi" w:cstheme="majorBidi"/>
        </w:rPr>
        <w:t xml:space="preserve"> scanning in all subjects suspected or known to have glaucoma for better and earlier diagnosis as they improve the sensitivity of glaucoma detection.</w:t>
      </w:r>
    </w:p>
    <w:p w:rsidR="00266DCC" w:rsidRPr="0026227F" w:rsidRDefault="00266DCC" w:rsidP="00266DCC">
      <w:pPr>
        <w:bidi w:val="0"/>
        <w:spacing w:line="360" w:lineRule="auto"/>
        <w:rPr>
          <w:rFonts w:asciiTheme="majorBidi" w:hAnsiTheme="majorBidi" w:cstheme="majorBidi"/>
          <w:sz w:val="24"/>
          <w:szCs w:val="24"/>
        </w:rPr>
      </w:pPr>
    </w:p>
    <w:p w:rsidR="00266DCC" w:rsidRPr="0026227F" w:rsidRDefault="00266DCC" w:rsidP="00266DCC">
      <w:pPr>
        <w:bidi w:val="0"/>
        <w:spacing w:line="360" w:lineRule="auto"/>
        <w:rPr>
          <w:rFonts w:asciiTheme="majorBidi" w:hAnsiTheme="majorBidi" w:cstheme="majorBidi"/>
          <w:b/>
          <w:bCs/>
          <w:sz w:val="24"/>
          <w:szCs w:val="24"/>
        </w:rPr>
      </w:pPr>
      <w:r w:rsidRPr="0026227F">
        <w:rPr>
          <w:rFonts w:asciiTheme="majorBidi" w:hAnsiTheme="majorBidi" w:cstheme="majorBidi"/>
          <w:b/>
          <w:bCs/>
          <w:sz w:val="24"/>
          <w:szCs w:val="24"/>
        </w:rPr>
        <w:t>Key words:</w:t>
      </w:r>
    </w:p>
    <w:p w:rsidR="00266DCC" w:rsidRPr="00CE271E" w:rsidRDefault="00266DCC" w:rsidP="00CE271E">
      <w:pPr>
        <w:bidi w:val="0"/>
        <w:spacing w:line="360" w:lineRule="auto"/>
        <w:rPr>
          <w:rFonts w:asciiTheme="majorBidi" w:hAnsiTheme="majorBidi" w:cstheme="majorBidi"/>
        </w:rPr>
      </w:pPr>
      <w:r w:rsidRPr="00CE271E">
        <w:rPr>
          <w:rFonts w:asciiTheme="majorBidi" w:hAnsiTheme="majorBidi" w:cstheme="majorBidi"/>
        </w:rPr>
        <w:t xml:space="preserve">OCT, </w:t>
      </w:r>
      <w:proofErr w:type="gramStart"/>
      <w:r w:rsidRPr="00CE271E">
        <w:rPr>
          <w:rFonts w:asciiTheme="majorBidi" w:hAnsiTheme="majorBidi" w:cstheme="majorBidi"/>
        </w:rPr>
        <w:t>VF ,Glaucoma</w:t>
      </w:r>
      <w:proofErr w:type="gramEnd"/>
      <w:r w:rsidRPr="00CE271E">
        <w:rPr>
          <w:rFonts w:asciiTheme="majorBidi" w:hAnsiTheme="majorBidi" w:cstheme="majorBidi"/>
        </w:rPr>
        <w:t xml:space="preserve"> , macular ganglion cell layer.</w:t>
      </w:r>
    </w:p>
    <w:p w:rsidR="00266DCC" w:rsidRPr="00266DCC" w:rsidRDefault="00266DCC" w:rsidP="00266DCC">
      <w:pPr>
        <w:bidi w:val="0"/>
        <w:spacing w:line="360" w:lineRule="auto"/>
        <w:rPr>
          <w:rFonts w:asciiTheme="majorBidi" w:eastAsia="MS Mincho" w:hAnsiTheme="majorBidi" w:cstheme="majorBidi"/>
          <w:b/>
          <w:sz w:val="24"/>
          <w:szCs w:val="24"/>
          <w:u w:val="dotted"/>
          <w:lang w:eastAsia="en-US"/>
        </w:rPr>
      </w:pPr>
      <w:r w:rsidRPr="00266DCC">
        <w:rPr>
          <w:rFonts w:asciiTheme="majorBidi" w:eastAsia="MS Mincho" w:hAnsiTheme="majorBidi" w:cstheme="majorBidi"/>
          <w:b/>
          <w:sz w:val="24"/>
          <w:szCs w:val="24"/>
          <w:u w:val="dotted"/>
          <w:lang w:eastAsia="en-US"/>
        </w:rPr>
        <w:t>Introduction:</w:t>
      </w:r>
    </w:p>
    <w:p w:rsidR="00266DCC" w:rsidRPr="00CE271E" w:rsidRDefault="00266DCC" w:rsidP="00CE271E">
      <w:pPr>
        <w:autoSpaceDE w:val="0"/>
        <w:autoSpaceDN w:val="0"/>
        <w:bidi w:val="0"/>
        <w:adjustRightInd w:val="0"/>
        <w:spacing w:line="240" w:lineRule="auto"/>
        <w:jc w:val="left"/>
        <w:rPr>
          <w:rFonts w:asciiTheme="majorBidi" w:hAnsiTheme="majorBidi" w:cstheme="majorBidi"/>
        </w:rPr>
      </w:pPr>
      <w:r w:rsidRPr="00CE271E">
        <w:rPr>
          <w:rFonts w:asciiTheme="majorBidi" w:hAnsiTheme="majorBidi" w:cstheme="majorBidi"/>
        </w:rPr>
        <w:t>The role of imaging in glaucoma management has si</w:t>
      </w:r>
      <w:r w:rsidR="000C1056" w:rsidRPr="00CE271E">
        <w:rPr>
          <w:rFonts w:asciiTheme="majorBidi" w:hAnsiTheme="majorBidi" w:cstheme="majorBidi"/>
        </w:rPr>
        <w:t xml:space="preserve">gnificantly increased in recent </w:t>
      </w:r>
      <w:r w:rsidRPr="00CE271E">
        <w:rPr>
          <w:rFonts w:asciiTheme="majorBidi" w:hAnsiTheme="majorBidi" w:cstheme="majorBidi"/>
        </w:rPr>
        <w:t>years, the m</w:t>
      </w:r>
      <w:r w:rsidRPr="00CE271E">
        <w:rPr>
          <w:rFonts w:asciiTheme="majorBidi" w:hAnsiTheme="majorBidi" w:cstheme="majorBidi"/>
          <w:lang w:bidi="ar-EG"/>
        </w:rPr>
        <w:t>ajor development in ophthalmic imaging was the introduction of optical coherence tomography</w:t>
      </w:r>
      <w:r w:rsidRPr="00CE271E">
        <w:rPr>
          <w:rFonts w:asciiTheme="majorBidi" w:hAnsiTheme="majorBidi" w:cstheme="majorBidi"/>
          <w:color w:val="000000"/>
        </w:rPr>
        <w:t xml:space="preserve"> (OCT) in 1991,</w:t>
      </w:r>
      <w:r w:rsidRPr="00CE271E">
        <w:rPr>
          <w:rFonts w:asciiTheme="majorBidi" w:hAnsiTheme="majorBidi" w:cstheme="majorBidi"/>
          <w:lang w:bidi="ar-EG"/>
        </w:rPr>
        <w:t xml:space="preserve"> by Huang et al</w:t>
      </w:r>
      <w:r w:rsidRPr="00CE271E">
        <w:rPr>
          <w:rFonts w:asciiTheme="majorBidi" w:hAnsiTheme="majorBidi" w:cstheme="majorBidi"/>
          <w:b/>
          <w:bCs/>
          <w:color w:val="000000"/>
        </w:rPr>
        <w:t xml:space="preserve">. </w:t>
      </w:r>
      <w:r w:rsidR="002518C1" w:rsidRPr="00CE271E">
        <w:rPr>
          <w:rFonts w:asciiTheme="majorBidi" w:hAnsiTheme="majorBidi" w:cstheme="majorBidi"/>
          <w:b/>
          <w:bCs/>
          <w:color w:val="000000"/>
          <w:vertAlign w:val="superscript"/>
        </w:rPr>
        <w:t>1</w:t>
      </w:r>
    </w:p>
    <w:p w:rsidR="000C1056" w:rsidRPr="00CE271E" w:rsidRDefault="00266DCC" w:rsidP="00CE271E">
      <w:pPr>
        <w:autoSpaceDE w:val="0"/>
        <w:autoSpaceDN w:val="0"/>
        <w:bidi w:val="0"/>
        <w:adjustRightInd w:val="0"/>
        <w:spacing w:line="240" w:lineRule="auto"/>
        <w:jc w:val="left"/>
        <w:rPr>
          <w:rFonts w:asciiTheme="majorBidi" w:hAnsiTheme="majorBidi" w:cstheme="majorBidi"/>
        </w:rPr>
      </w:pPr>
      <w:r w:rsidRPr="00CE271E">
        <w:rPr>
          <w:rFonts w:asciiTheme="majorBidi" w:hAnsiTheme="majorBidi" w:cstheme="majorBidi"/>
          <w:color w:val="000000"/>
        </w:rPr>
        <w:t xml:space="preserve">      It is a non-invasive cross-sectional imaging technique that allows for high-</w:t>
      </w:r>
      <w:r w:rsidR="00F66DA3" w:rsidRPr="00CE271E">
        <w:rPr>
          <w:rFonts w:asciiTheme="majorBidi" w:hAnsiTheme="majorBidi" w:cstheme="majorBidi"/>
          <w:color w:val="000000"/>
        </w:rPr>
        <w:t>resolution</w:t>
      </w:r>
      <w:r w:rsidR="00F66DA3" w:rsidRPr="00CE271E">
        <w:rPr>
          <w:rFonts w:asciiTheme="majorBidi" w:hAnsiTheme="majorBidi" w:cstheme="majorBidi"/>
        </w:rPr>
        <w:t xml:space="preserve"> close</w:t>
      </w:r>
      <w:r w:rsidRPr="00CE271E">
        <w:rPr>
          <w:rFonts w:asciiTheme="majorBidi" w:hAnsiTheme="majorBidi" w:cstheme="majorBidi"/>
        </w:rPr>
        <w:t xml:space="preserve"> to </w:t>
      </w:r>
      <w:proofErr w:type="gramStart"/>
      <w:r w:rsidRPr="00CE271E">
        <w:rPr>
          <w:rFonts w:asciiTheme="majorBidi" w:hAnsiTheme="majorBidi" w:cstheme="majorBidi"/>
        </w:rPr>
        <w:t>an  in</w:t>
      </w:r>
      <w:proofErr w:type="gramEnd"/>
      <w:r w:rsidRPr="00CE271E">
        <w:rPr>
          <w:rFonts w:asciiTheme="majorBidi" w:hAnsiTheme="majorBidi" w:cstheme="majorBidi"/>
        </w:rPr>
        <w:t>-vivo ‘optical biopsy’ of the retina</w:t>
      </w:r>
      <w:r w:rsidR="000C1056" w:rsidRPr="00CE271E">
        <w:rPr>
          <w:rFonts w:asciiTheme="majorBidi" w:hAnsiTheme="majorBidi" w:cstheme="majorBidi"/>
        </w:rPr>
        <w:t>.</w:t>
      </w:r>
    </w:p>
    <w:p w:rsidR="00266DCC" w:rsidRPr="00CE271E" w:rsidRDefault="00266DCC" w:rsidP="00CE271E">
      <w:pPr>
        <w:autoSpaceDE w:val="0"/>
        <w:autoSpaceDN w:val="0"/>
        <w:bidi w:val="0"/>
        <w:adjustRightInd w:val="0"/>
        <w:spacing w:line="240" w:lineRule="auto"/>
        <w:jc w:val="left"/>
        <w:rPr>
          <w:rFonts w:asciiTheme="majorBidi" w:hAnsiTheme="majorBidi" w:cstheme="majorBidi"/>
          <w:color w:val="000000"/>
        </w:rPr>
      </w:pPr>
      <w:r w:rsidRPr="00CE271E">
        <w:rPr>
          <w:rFonts w:asciiTheme="majorBidi" w:hAnsiTheme="majorBidi" w:cstheme="majorBidi"/>
          <w:color w:val="000000"/>
        </w:rPr>
        <w:t>Different scanning modalities:</w:t>
      </w:r>
    </w:p>
    <w:p w:rsidR="00266DCC" w:rsidRPr="00CE271E" w:rsidRDefault="00266DCC" w:rsidP="00CE271E">
      <w:pPr>
        <w:spacing w:line="240" w:lineRule="auto"/>
        <w:jc w:val="right"/>
        <w:rPr>
          <w:rFonts w:asciiTheme="majorBidi" w:hAnsiTheme="majorBidi" w:cstheme="majorBidi"/>
          <w:color w:val="000000"/>
          <w:rtl/>
          <w:lang w:bidi="ar-EG"/>
        </w:rPr>
      </w:pPr>
      <w:proofErr w:type="spellStart"/>
      <w:r w:rsidRPr="00CE271E">
        <w:rPr>
          <w:rFonts w:asciiTheme="majorBidi" w:hAnsiTheme="majorBidi" w:cstheme="majorBidi"/>
        </w:rPr>
        <w:t>Peripapillary</w:t>
      </w:r>
      <w:proofErr w:type="spellEnd"/>
      <w:r w:rsidRPr="00CE271E">
        <w:rPr>
          <w:rFonts w:asciiTheme="majorBidi" w:hAnsiTheme="majorBidi" w:cstheme="majorBidi"/>
        </w:rPr>
        <w:t xml:space="preserve"> scan</w:t>
      </w:r>
      <w:r w:rsidR="000C1056" w:rsidRPr="00CE271E">
        <w:rPr>
          <w:rFonts w:asciiTheme="majorBidi" w:hAnsiTheme="majorBidi" w:cstheme="majorBidi"/>
        </w:rPr>
        <w:t>,</w:t>
      </w:r>
      <w:r w:rsidRPr="00CE271E">
        <w:rPr>
          <w:rFonts w:asciiTheme="majorBidi" w:hAnsiTheme="majorBidi" w:cstheme="majorBidi"/>
        </w:rPr>
        <w:t xml:space="preserve"> O</w:t>
      </w:r>
      <w:r w:rsidR="000C1056" w:rsidRPr="00CE271E">
        <w:rPr>
          <w:rFonts w:asciiTheme="majorBidi" w:hAnsiTheme="majorBidi" w:cstheme="majorBidi"/>
        </w:rPr>
        <w:t xml:space="preserve">ptic </w:t>
      </w:r>
      <w:r w:rsidRPr="00CE271E">
        <w:rPr>
          <w:rFonts w:asciiTheme="majorBidi" w:hAnsiTheme="majorBidi" w:cstheme="majorBidi"/>
        </w:rPr>
        <w:t>N</w:t>
      </w:r>
      <w:r w:rsidR="000C1056" w:rsidRPr="00CE271E">
        <w:rPr>
          <w:rFonts w:asciiTheme="majorBidi" w:hAnsiTheme="majorBidi" w:cstheme="majorBidi"/>
        </w:rPr>
        <w:t xml:space="preserve">erve </w:t>
      </w:r>
      <w:r w:rsidRPr="00CE271E">
        <w:rPr>
          <w:rFonts w:asciiTheme="majorBidi" w:hAnsiTheme="majorBidi" w:cstheme="majorBidi"/>
        </w:rPr>
        <w:t>H</w:t>
      </w:r>
      <w:r w:rsidR="000C1056" w:rsidRPr="00CE271E">
        <w:rPr>
          <w:rFonts w:asciiTheme="majorBidi" w:hAnsiTheme="majorBidi" w:cstheme="majorBidi"/>
        </w:rPr>
        <w:t xml:space="preserve">ead </w:t>
      </w:r>
      <w:r w:rsidRPr="00CE271E">
        <w:rPr>
          <w:rFonts w:asciiTheme="majorBidi" w:hAnsiTheme="majorBidi" w:cstheme="majorBidi"/>
        </w:rPr>
        <w:t xml:space="preserve">scan </w:t>
      </w:r>
      <w:r w:rsidR="000C1056" w:rsidRPr="00CE271E">
        <w:rPr>
          <w:rFonts w:asciiTheme="majorBidi" w:hAnsiTheme="majorBidi" w:cstheme="majorBidi"/>
        </w:rPr>
        <w:t xml:space="preserve">and </w:t>
      </w:r>
      <w:r w:rsidRPr="00CE271E">
        <w:rPr>
          <w:rFonts w:asciiTheme="majorBidi" w:hAnsiTheme="majorBidi" w:cstheme="majorBidi"/>
        </w:rPr>
        <w:t>Macular</w:t>
      </w:r>
      <w:r w:rsidR="000C1056" w:rsidRPr="00CE271E">
        <w:rPr>
          <w:rFonts w:asciiTheme="majorBidi" w:hAnsiTheme="majorBidi" w:cstheme="majorBidi"/>
        </w:rPr>
        <w:t xml:space="preserve"> ganglion cell layers</w:t>
      </w:r>
      <w:r w:rsidRPr="00CE271E">
        <w:rPr>
          <w:rFonts w:asciiTheme="majorBidi" w:hAnsiTheme="majorBidi" w:cstheme="majorBidi"/>
        </w:rPr>
        <w:t xml:space="preserve"> sca</w:t>
      </w:r>
      <w:r w:rsidR="000C1056" w:rsidRPr="00CE271E">
        <w:rPr>
          <w:rFonts w:asciiTheme="majorBidi" w:hAnsiTheme="majorBidi" w:cstheme="majorBidi"/>
        </w:rPr>
        <w:t>n</w:t>
      </w:r>
      <w:r w:rsidR="005D4DF2" w:rsidRPr="00CE271E">
        <w:rPr>
          <w:rFonts w:asciiTheme="majorBidi" w:hAnsiTheme="majorBidi" w:cstheme="majorBidi"/>
        </w:rPr>
        <w:t>.</w:t>
      </w:r>
    </w:p>
    <w:p w:rsidR="000C1056" w:rsidRPr="00CE271E" w:rsidRDefault="00266DCC" w:rsidP="00CE271E">
      <w:pPr>
        <w:keepNext/>
        <w:keepLines/>
        <w:shd w:val="clear" w:color="auto" w:fill="FFFFFF"/>
        <w:bidi w:val="0"/>
        <w:spacing w:before="72" w:line="240" w:lineRule="auto"/>
        <w:jc w:val="left"/>
        <w:outlineLvl w:val="3"/>
        <w:rPr>
          <w:rFonts w:asciiTheme="majorBidi" w:eastAsiaTheme="majorEastAsia" w:hAnsiTheme="majorBidi" w:cstheme="majorBidi"/>
          <w:color w:val="000000"/>
        </w:rPr>
      </w:pPr>
      <w:r w:rsidRPr="00CE271E">
        <w:rPr>
          <w:rFonts w:asciiTheme="majorBidi" w:hAnsiTheme="majorBidi" w:cstheme="majorBidi"/>
        </w:rPr>
        <w:t xml:space="preserve">     </w:t>
      </w:r>
      <w:r w:rsidR="002518C1" w:rsidRPr="00CE271E">
        <w:rPr>
          <w:rFonts w:asciiTheme="majorBidi" w:hAnsiTheme="majorBidi" w:cstheme="majorBidi"/>
          <w:color w:val="252525"/>
          <w:shd w:val="clear" w:color="auto" w:fill="FFFFFF"/>
        </w:rPr>
        <w:t>Visual</w:t>
      </w:r>
      <w:r w:rsidRPr="00CE271E">
        <w:rPr>
          <w:rFonts w:asciiTheme="majorBidi" w:hAnsiTheme="majorBidi" w:cstheme="majorBidi"/>
          <w:color w:val="252525"/>
          <w:shd w:val="clear" w:color="auto" w:fill="FFFFFF"/>
        </w:rPr>
        <w:t xml:space="preserve"> field test</w:t>
      </w:r>
      <w:r w:rsidR="000C1056" w:rsidRPr="00CE271E">
        <w:rPr>
          <w:rFonts w:asciiTheme="majorBidi" w:hAnsiTheme="majorBidi" w:cstheme="majorBidi"/>
          <w:color w:val="252525"/>
          <w:shd w:val="clear" w:color="auto" w:fill="FFFFFF"/>
        </w:rPr>
        <w:t>:</w:t>
      </w:r>
      <w:r w:rsidRPr="00CE271E">
        <w:rPr>
          <w:rFonts w:asciiTheme="majorBidi" w:hAnsiTheme="majorBidi" w:cstheme="majorBidi"/>
        </w:rPr>
        <w:t xml:space="preserve"> </w:t>
      </w:r>
      <w:r w:rsidR="000C1056" w:rsidRPr="00CE271E">
        <w:rPr>
          <w:rFonts w:asciiTheme="majorBidi" w:hAnsiTheme="majorBidi" w:cstheme="majorBidi"/>
        </w:rPr>
        <w:t>e</w:t>
      </w:r>
      <w:r w:rsidRPr="00CE271E">
        <w:rPr>
          <w:rFonts w:asciiTheme="majorBidi" w:hAnsiTheme="majorBidi" w:cstheme="majorBidi"/>
        </w:rPr>
        <w:t>ach point in the VF reflects the visual characteristics of the corresponding point in the retina. It records visual function at each retinal location qualitatively and semi-quantitatively by measuring the weakest perceptible light spot.</w:t>
      </w:r>
      <w:r w:rsidR="002518C1" w:rsidRPr="00CE271E">
        <w:rPr>
          <w:rFonts w:asciiTheme="majorBidi" w:hAnsiTheme="majorBidi" w:cstheme="majorBidi"/>
          <w:vertAlign w:val="superscript"/>
        </w:rPr>
        <w:t>2</w:t>
      </w:r>
    </w:p>
    <w:p w:rsidR="00266DCC" w:rsidRPr="00CE271E" w:rsidRDefault="00266DCC" w:rsidP="00CE271E">
      <w:pPr>
        <w:keepNext/>
        <w:keepLines/>
        <w:shd w:val="clear" w:color="auto" w:fill="FFFFFF"/>
        <w:bidi w:val="0"/>
        <w:spacing w:before="72" w:line="240" w:lineRule="auto"/>
        <w:jc w:val="left"/>
        <w:outlineLvl w:val="3"/>
        <w:rPr>
          <w:rFonts w:asciiTheme="majorBidi" w:eastAsiaTheme="majorEastAsia" w:hAnsiTheme="majorBidi" w:cstheme="majorBidi"/>
          <w:b/>
          <w:bCs/>
          <w:color w:val="000000"/>
          <w:u w:val="single"/>
        </w:rPr>
      </w:pPr>
      <w:r w:rsidRPr="00CE271E">
        <w:rPr>
          <w:rFonts w:asciiTheme="majorBidi" w:eastAsiaTheme="majorEastAsia" w:hAnsiTheme="majorBidi" w:cstheme="majorBidi"/>
          <w:color w:val="000000"/>
        </w:rPr>
        <w:t>Global Indices</w:t>
      </w:r>
      <w:r w:rsidRPr="00CE271E">
        <w:rPr>
          <w:rFonts w:asciiTheme="majorBidi" w:hAnsiTheme="majorBidi" w:cstheme="majorBidi"/>
          <w:color w:val="252525"/>
        </w:rPr>
        <w:t xml:space="preserve"> include:</w:t>
      </w:r>
    </w:p>
    <w:p w:rsidR="00266DCC" w:rsidRPr="00CE271E" w:rsidRDefault="00266DCC" w:rsidP="00CE271E">
      <w:pPr>
        <w:numPr>
          <w:ilvl w:val="0"/>
          <w:numId w:val="2"/>
        </w:numPr>
        <w:shd w:val="clear" w:color="auto" w:fill="FFFFFF"/>
        <w:bidi w:val="0"/>
        <w:spacing w:before="100" w:beforeAutospacing="1" w:after="24" w:line="240" w:lineRule="auto"/>
        <w:ind w:left="384"/>
        <w:jc w:val="left"/>
        <w:rPr>
          <w:rFonts w:asciiTheme="majorBidi" w:hAnsiTheme="majorBidi" w:cstheme="majorBidi"/>
          <w:color w:val="252525"/>
        </w:rPr>
      </w:pPr>
      <w:r w:rsidRPr="00CE271E">
        <w:rPr>
          <w:rFonts w:asciiTheme="majorBidi" w:hAnsiTheme="majorBidi" w:cstheme="majorBidi"/>
          <w:color w:val="252525"/>
          <w:u w:val="single"/>
        </w:rPr>
        <w:t>Mean Deviation (MD):</w:t>
      </w:r>
      <w:r w:rsidRPr="00CE271E">
        <w:rPr>
          <w:rFonts w:asciiTheme="majorBidi" w:hAnsiTheme="majorBidi" w:cstheme="majorBidi"/>
          <w:color w:val="252525"/>
        </w:rPr>
        <w:t> Derived from the Total Deviation and represents the overall mean departure from the age-corrected norm</w:t>
      </w:r>
      <w:r w:rsidRPr="00CE271E">
        <w:rPr>
          <w:rFonts w:asciiTheme="majorBidi" w:hAnsiTheme="majorBidi" w:cstheme="majorBidi"/>
          <w:b/>
          <w:bCs/>
          <w:color w:val="252525"/>
        </w:rPr>
        <w:t>.</w:t>
      </w:r>
      <w:r w:rsidRPr="00CE271E">
        <w:rPr>
          <w:rFonts w:asciiTheme="majorBidi" w:hAnsiTheme="majorBidi" w:cstheme="majorBidi"/>
          <w:color w:val="252525"/>
        </w:rPr>
        <w:t xml:space="preserve"> A negative value indicates field loss, while a positive value indicates that the field is above average. A P value is provided if the global indices are abnormal. It provides a statistical representation of the population. For example, P &lt;2% means that less than 2% of the population have vision loss worse than measured.</w:t>
      </w:r>
      <w:r w:rsidR="002518C1" w:rsidRPr="00CE271E">
        <w:rPr>
          <w:rFonts w:asciiTheme="majorBidi" w:hAnsiTheme="majorBidi" w:cstheme="majorBidi"/>
          <w:b/>
          <w:bCs/>
          <w:color w:val="252525"/>
          <w:vertAlign w:val="superscript"/>
        </w:rPr>
        <w:t>3</w:t>
      </w:r>
    </w:p>
    <w:p w:rsidR="00266DCC" w:rsidRPr="00CE271E" w:rsidRDefault="00266DCC" w:rsidP="00CE271E">
      <w:pPr>
        <w:numPr>
          <w:ilvl w:val="0"/>
          <w:numId w:val="2"/>
        </w:numPr>
        <w:shd w:val="clear" w:color="auto" w:fill="FFFFFF"/>
        <w:bidi w:val="0"/>
        <w:spacing w:before="100" w:beforeAutospacing="1" w:after="24" w:line="240" w:lineRule="auto"/>
        <w:ind w:left="384"/>
        <w:rPr>
          <w:rFonts w:asciiTheme="majorBidi" w:hAnsiTheme="majorBidi" w:cstheme="majorBidi"/>
          <w:color w:val="252525"/>
        </w:rPr>
      </w:pPr>
      <w:r w:rsidRPr="00CE271E">
        <w:rPr>
          <w:rFonts w:asciiTheme="majorBidi" w:hAnsiTheme="majorBidi" w:cstheme="majorBidi"/>
          <w:color w:val="252525"/>
          <w:u w:val="single"/>
        </w:rPr>
        <w:t>Pattern Standard Deviation (PSD):</w:t>
      </w:r>
      <w:r w:rsidRPr="00CE271E">
        <w:rPr>
          <w:rFonts w:asciiTheme="majorBidi" w:hAnsiTheme="majorBidi" w:cstheme="majorBidi"/>
          <w:color w:val="252525"/>
        </w:rPr>
        <w:t xml:space="preserve"> Derived from the Pattern Deviation and thus highlights focal loss only. A high PSD, indicating irregular vision, is therefore a more useful indicator of glaucomatous progression, than the MD. </w:t>
      </w:r>
      <w:r w:rsidR="002518C1" w:rsidRPr="00CE271E">
        <w:rPr>
          <w:rFonts w:asciiTheme="majorBidi" w:hAnsiTheme="majorBidi" w:cstheme="majorBidi"/>
          <w:b/>
          <w:bCs/>
          <w:color w:val="252525"/>
          <w:vertAlign w:val="superscript"/>
        </w:rPr>
        <w:t>4</w:t>
      </w:r>
    </w:p>
    <w:p w:rsidR="00266DCC" w:rsidRPr="001F6AC4" w:rsidRDefault="00266DCC" w:rsidP="00266DCC">
      <w:pPr>
        <w:autoSpaceDE w:val="0"/>
        <w:autoSpaceDN w:val="0"/>
        <w:bidi w:val="0"/>
        <w:adjustRightInd w:val="0"/>
        <w:rPr>
          <w:rFonts w:ascii="Arial" w:hAnsi="Arial" w:cs="Arial"/>
          <w:color w:val="252525"/>
          <w:sz w:val="21"/>
          <w:szCs w:val="21"/>
          <w:shd w:val="clear" w:color="auto" w:fill="FFFFFF"/>
        </w:rPr>
      </w:pPr>
    </w:p>
    <w:p w:rsidR="000C1056" w:rsidRDefault="000C1056" w:rsidP="00CE271E">
      <w:pPr>
        <w:pStyle w:val="Default"/>
        <w:ind w:left="1080"/>
        <w:rPr>
          <w:lang w:bidi="ar-EG"/>
        </w:rPr>
      </w:pPr>
      <w:r>
        <w:rPr>
          <w:lang w:bidi="ar-EG"/>
        </w:rPr>
        <w:lastRenderedPageBreak/>
        <w:t xml:space="preserve">In our study we aimed to determine the relationship between optical coherence tomography (OCT) parameters and visual field severity indices computed by standard automated </w:t>
      </w:r>
      <w:proofErr w:type="spellStart"/>
      <w:r>
        <w:rPr>
          <w:lang w:bidi="ar-EG"/>
        </w:rPr>
        <w:t>perimetry</w:t>
      </w:r>
      <w:proofErr w:type="spellEnd"/>
      <w:r>
        <w:rPr>
          <w:lang w:bidi="ar-EG"/>
        </w:rPr>
        <w:t xml:space="preserve"> (SAP) in patients with </w:t>
      </w:r>
      <w:r w:rsidR="00CF1B8F">
        <w:rPr>
          <w:lang w:bidi="ar-EG"/>
        </w:rPr>
        <w:t xml:space="preserve">primary open angle glaucoma, </w:t>
      </w:r>
      <w:r>
        <w:rPr>
          <w:lang w:bidi="ar-EG"/>
        </w:rPr>
        <w:t xml:space="preserve">to know the correlation between OCT disc parameter and ganglion cell layer (GCL) </w:t>
      </w:r>
      <w:r w:rsidR="00CF1B8F">
        <w:rPr>
          <w:lang w:bidi="ar-EG"/>
        </w:rPr>
        <w:t>and to know the most important factor to differentiate cases from control</w:t>
      </w:r>
      <w:r>
        <w:rPr>
          <w:lang w:bidi="ar-EG"/>
        </w:rPr>
        <w:t>.</w:t>
      </w:r>
    </w:p>
    <w:p w:rsidR="000C1056" w:rsidRDefault="000C1056" w:rsidP="00CE271E">
      <w:pPr>
        <w:pStyle w:val="Default"/>
        <w:ind w:left="1080"/>
        <w:rPr>
          <w:lang w:bidi="ar-EG"/>
        </w:rPr>
      </w:pPr>
      <w:r>
        <w:rPr>
          <w:lang w:bidi="ar-EG"/>
        </w:rPr>
        <w:t xml:space="preserve"> </w:t>
      </w:r>
    </w:p>
    <w:p w:rsidR="000C1056" w:rsidRPr="0026227F" w:rsidRDefault="000C1056" w:rsidP="000C1056">
      <w:pPr>
        <w:bidi w:val="0"/>
        <w:spacing w:line="360" w:lineRule="auto"/>
        <w:rPr>
          <w:rFonts w:asciiTheme="majorBidi" w:hAnsiTheme="majorBidi" w:cstheme="majorBidi"/>
          <w:b/>
          <w:bCs/>
          <w:sz w:val="24"/>
          <w:szCs w:val="24"/>
          <w:u w:val="dotted"/>
        </w:rPr>
      </w:pPr>
      <w:r w:rsidRPr="0026227F">
        <w:rPr>
          <w:rFonts w:asciiTheme="majorBidi" w:hAnsiTheme="majorBidi" w:cstheme="majorBidi"/>
          <w:b/>
          <w:bCs/>
          <w:sz w:val="24"/>
          <w:szCs w:val="24"/>
          <w:u w:val="dotted"/>
        </w:rPr>
        <w:t>Subjects and Methods:</w:t>
      </w:r>
    </w:p>
    <w:p w:rsidR="00004F5F" w:rsidRPr="00CE271E" w:rsidRDefault="00004F5F" w:rsidP="00CE271E">
      <w:pPr>
        <w:autoSpaceDE w:val="0"/>
        <w:autoSpaceDN w:val="0"/>
        <w:bidi w:val="0"/>
        <w:adjustRightInd w:val="0"/>
        <w:spacing w:line="240" w:lineRule="auto"/>
        <w:rPr>
          <w:rFonts w:asciiTheme="majorBidi" w:hAnsiTheme="majorBidi" w:cstheme="majorBidi"/>
          <w:b/>
          <w:bCs/>
        </w:rPr>
      </w:pPr>
      <w:r w:rsidRPr="00CE271E">
        <w:rPr>
          <w:rFonts w:asciiTheme="majorBidi" w:hAnsiTheme="majorBidi" w:cstheme="majorBidi"/>
        </w:rPr>
        <w:t xml:space="preserve">The study included 94 subjects (160 eyes) divided into two groups: </w:t>
      </w:r>
    </w:p>
    <w:p w:rsidR="00004F5F" w:rsidRPr="00CE271E" w:rsidRDefault="00004F5F" w:rsidP="00CE271E">
      <w:pPr>
        <w:spacing w:line="240" w:lineRule="auto"/>
        <w:jc w:val="right"/>
        <w:rPr>
          <w:rFonts w:asciiTheme="majorBidi" w:hAnsiTheme="majorBidi" w:cstheme="majorBidi"/>
          <w:b/>
          <w:bCs/>
          <w:u w:val="single"/>
        </w:rPr>
      </w:pPr>
      <w:r w:rsidRPr="00CE271E">
        <w:rPr>
          <w:rFonts w:asciiTheme="majorBidi" w:hAnsiTheme="majorBidi" w:cstheme="majorBidi"/>
          <w:b/>
          <w:bCs/>
        </w:rPr>
        <w:t xml:space="preserve">Group 1 </w:t>
      </w:r>
      <w:r w:rsidRPr="00CE271E">
        <w:rPr>
          <w:rFonts w:asciiTheme="majorBidi" w:hAnsiTheme="majorBidi" w:cstheme="majorBidi"/>
        </w:rPr>
        <w:t xml:space="preserve">included 54 subjects with primary open angle glaucoma </w:t>
      </w:r>
      <w:r w:rsidRPr="00CE271E">
        <w:rPr>
          <w:rFonts w:asciiTheme="majorBidi" w:hAnsiTheme="majorBidi" w:cstheme="majorBidi"/>
          <w:u w:val="single"/>
        </w:rPr>
        <w:t>(cases)</w:t>
      </w:r>
      <w:r w:rsidRPr="00CE271E">
        <w:rPr>
          <w:rFonts w:asciiTheme="majorBidi" w:hAnsiTheme="majorBidi" w:cstheme="majorBidi"/>
        </w:rPr>
        <w:t xml:space="preserve"> (92 eyes) with glaucomatous visual field defects and/or evidence of glaucomatous optic neuropathy (GON). </w:t>
      </w:r>
    </w:p>
    <w:p w:rsidR="000B728D" w:rsidRPr="00CE271E" w:rsidRDefault="00004F5F"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b/>
          <w:bCs/>
        </w:rPr>
        <w:t>Group 2</w:t>
      </w:r>
      <w:r w:rsidRPr="00CE271E">
        <w:rPr>
          <w:rFonts w:asciiTheme="majorBidi" w:hAnsiTheme="majorBidi" w:cstheme="majorBidi"/>
        </w:rPr>
        <w:t xml:space="preserve"> included 40 healthy non-glaucomatous subjects </w:t>
      </w:r>
      <w:r w:rsidRPr="00CE271E">
        <w:rPr>
          <w:rFonts w:asciiTheme="majorBidi" w:hAnsiTheme="majorBidi" w:cstheme="majorBidi"/>
          <w:u w:val="single"/>
        </w:rPr>
        <w:t>(controls)</w:t>
      </w:r>
      <w:r w:rsidRPr="00CE271E">
        <w:rPr>
          <w:rFonts w:asciiTheme="majorBidi" w:hAnsiTheme="majorBidi" w:cstheme="majorBidi"/>
        </w:rPr>
        <w:t xml:space="preserve"> (68eyes) without visual field damage or other suspicious findings for the disease as a control</w:t>
      </w:r>
      <w:r w:rsidR="000B728D" w:rsidRPr="00CE271E">
        <w:rPr>
          <w:rFonts w:asciiTheme="majorBidi" w:hAnsiTheme="majorBidi" w:cstheme="majorBidi"/>
        </w:rPr>
        <w:t xml:space="preserve"> </w:t>
      </w:r>
    </w:p>
    <w:p w:rsidR="000B728D" w:rsidRPr="00CE271E" w:rsidRDefault="000B728D"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 xml:space="preserve">All data were collected between March 2016 and march 2017 at </w:t>
      </w:r>
      <w:proofErr w:type="spellStart"/>
      <w:r w:rsidRPr="00CE271E">
        <w:rPr>
          <w:rFonts w:asciiTheme="majorBidi" w:hAnsiTheme="majorBidi" w:cstheme="majorBidi"/>
        </w:rPr>
        <w:t>Sohag</w:t>
      </w:r>
      <w:proofErr w:type="spellEnd"/>
      <w:r w:rsidRPr="00CE271E">
        <w:rPr>
          <w:rFonts w:asciiTheme="majorBidi" w:hAnsiTheme="majorBidi" w:cstheme="majorBidi"/>
        </w:rPr>
        <w:t xml:space="preserve"> Ophthalmology Investigative Center. </w:t>
      </w:r>
    </w:p>
    <w:p w:rsidR="000B728D" w:rsidRPr="00CE271E" w:rsidRDefault="000B728D" w:rsidP="00CE271E">
      <w:pPr>
        <w:autoSpaceDE w:val="0"/>
        <w:autoSpaceDN w:val="0"/>
        <w:bidi w:val="0"/>
        <w:adjustRightInd w:val="0"/>
        <w:spacing w:line="240" w:lineRule="auto"/>
        <w:rPr>
          <w:rFonts w:asciiTheme="majorBidi" w:hAnsiTheme="majorBidi" w:cstheme="majorBidi"/>
          <w:rtl/>
        </w:rPr>
      </w:pPr>
      <w:r w:rsidRPr="00CE271E">
        <w:rPr>
          <w:rFonts w:asciiTheme="majorBidi" w:hAnsiTheme="majorBidi" w:cstheme="majorBidi"/>
        </w:rPr>
        <w:t xml:space="preserve">All participants were informed about the tests that were </w:t>
      </w:r>
      <w:proofErr w:type="gramStart"/>
      <w:r w:rsidRPr="00CE271E">
        <w:rPr>
          <w:rFonts w:asciiTheme="majorBidi" w:hAnsiTheme="majorBidi" w:cstheme="majorBidi"/>
        </w:rPr>
        <w:t>be</w:t>
      </w:r>
      <w:proofErr w:type="gramEnd"/>
      <w:r w:rsidRPr="00CE271E">
        <w:rPr>
          <w:rFonts w:asciiTheme="majorBidi" w:hAnsiTheme="majorBidi" w:cstheme="majorBidi"/>
        </w:rPr>
        <w:t xml:space="preserve"> done to them. Approval from ethical committee </w:t>
      </w:r>
      <w:proofErr w:type="gramStart"/>
      <w:r w:rsidRPr="00CE271E">
        <w:rPr>
          <w:rFonts w:asciiTheme="majorBidi" w:hAnsiTheme="majorBidi" w:cstheme="majorBidi"/>
        </w:rPr>
        <w:t xml:space="preserve">of  </w:t>
      </w:r>
      <w:proofErr w:type="spellStart"/>
      <w:r w:rsidRPr="00CE271E">
        <w:rPr>
          <w:rFonts w:asciiTheme="majorBidi" w:hAnsiTheme="majorBidi" w:cstheme="majorBidi"/>
        </w:rPr>
        <w:t>Sohag</w:t>
      </w:r>
      <w:proofErr w:type="spellEnd"/>
      <w:proofErr w:type="gramEnd"/>
      <w:r w:rsidRPr="00CE271E">
        <w:rPr>
          <w:rFonts w:asciiTheme="majorBidi" w:hAnsiTheme="majorBidi" w:cstheme="majorBidi"/>
        </w:rPr>
        <w:t xml:space="preserve"> Faculty of Medicine was obtained.                                                                                         </w:t>
      </w:r>
    </w:p>
    <w:p w:rsidR="000B728D" w:rsidRPr="00CE271E" w:rsidRDefault="000B728D" w:rsidP="00CE271E">
      <w:pPr>
        <w:spacing w:line="240" w:lineRule="auto"/>
        <w:jc w:val="right"/>
        <w:rPr>
          <w:rFonts w:asciiTheme="majorBidi" w:hAnsiTheme="majorBidi" w:cstheme="majorBidi"/>
          <w:u w:val="single"/>
          <w:rtl/>
          <w:lang w:bidi="ar-EG"/>
        </w:rPr>
      </w:pPr>
      <w:r w:rsidRPr="00CE271E">
        <w:rPr>
          <w:rFonts w:asciiTheme="majorBidi" w:hAnsiTheme="majorBidi" w:cstheme="majorBidi"/>
          <w:u w:val="single"/>
        </w:rPr>
        <w:t>Group 1(cases):</w:t>
      </w:r>
    </w:p>
    <w:p w:rsidR="000B728D" w:rsidRPr="00CE271E" w:rsidRDefault="000B728D" w:rsidP="00CE271E">
      <w:pPr>
        <w:spacing w:line="240" w:lineRule="auto"/>
        <w:jc w:val="right"/>
        <w:rPr>
          <w:rFonts w:asciiTheme="majorBidi" w:hAnsiTheme="majorBidi" w:cstheme="majorBidi"/>
        </w:rPr>
      </w:pPr>
      <w:r w:rsidRPr="00CE271E">
        <w:rPr>
          <w:rFonts w:asciiTheme="majorBidi" w:hAnsiTheme="majorBidi" w:cstheme="majorBidi"/>
        </w:rPr>
        <w:t xml:space="preserve">Inclusion </w:t>
      </w:r>
      <w:proofErr w:type="gramStart"/>
      <w:r w:rsidRPr="00CE271E">
        <w:rPr>
          <w:rFonts w:asciiTheme="majorBidi" w:hAnsiTheme="majorBidi" w:cstheme="majorBidi"/>
        </w:rPr>
        <w:t xml:space="preserve">criteria </w:t>
      </w:r>
      <w:r w:rsidRPr="00CE271E">
        <w:rPr>
          <w:rFonts w:asciiTheme="majorBidi" w:hAnsiTheme="majorBidi" w:cstheme="majorBidi"/>
          <w:b/>
          <w:bCs/>
        </w:rPr>
        <w:t>:</w:t>
      </w:r>
      <w:proofErr w:type="gramEnd"/>
    </w:p>
    <w:p w:rsidR="000B728D" w:rsidRPr="00CE271E" w:rsidRDefault="000B728D" w:rsidP="00CE271E">
      <w:pPr>
        <w:spacing w:line="240" w:lineRule="auto"/>
        <w:jc w:val="right"/>
        <w:rPr>
          <w:rFonts w:asciiTheme="majorBidi" w:hAnsiTheme="majorBidi" w:cstheme="majorBidi"/>
        </w:rPr>
      </w:pPr>
      <w:r w:rsidRPr="00CE271E">
        <w:rPr>
          <w:rFonts w:asciiTheme="majorBidi" w:hAnsiTheme="majorBidi" w:cstheme="majorBidi"/>
        </w:rPr>
        <w:t xml:space="preserve">     Patients (age 18-70 years </w:t>
      </w:r>
      <w:proofErr w:type="gramStart"/>
      <w:r w:rsidRPr="00CE271E">
        <w:rPr>
          <w:rFonts w:asciiTheme="majorBidi" w:hAnsiTheme="majorBidi" w:cstheme="majorBidi"/>
        </w:rPr>
        <w:t>old )</w:t>
      </w:r>
      <w:proofErr w:type="gramEnd"/>
      <w:r w:rsidRPr="00CE271E">
        <w:rPr>
          <w:rFonts w:asciiTheme="majorBidi" w:hAnsiTheme="majorBidi" w:cstheme="majorBidi"/>
        </w:rPr>
        <w:t xml:space="preserve"> ,use of anti- glaucomatous medications is permitted. </w:t>
      </w:r>
    </w:p>
    <w:p w:rsidR="000B728D" w:rsidRPr="00CE271E" w:rsidRDefault="000B728D" w:rsidP="00CE271E">
      <w:pPr>
        <w:spacing w:line="240" w:lineRule="auto"/>
        <w:rPr>
          <w:rFonts w:asciiTheme="majorBidi" w:hAnsiTheme="majorBidi" w:cstheme="majorBidi"/>
        </w:rPr>
      </w:pPr>
      <w:r w:rsidRPr="00CE271E">
        <w:rPr>
          <w:rFonts w:asciiTheme="majorBidi" w:hAnsiTheme="majorBidi" w:cstheme="majorBidi"/>
        </w:rPr>
        <w:t xml:space="preserve"> We take in consideration that all participants had good-quality scans obtained by OCT, good-quality SAP performed within 1 month from OCT imaging.                       </w:t>
      </w:r>
    </w:p>
    <w:p w:rsidR="000B728D" w:rsidRPr="00CE271E" w:rsidRDefault="000B728D" w:rsidP="00CE271E">
      <w:pPr>
        <w:spacing w:line="240" w:lineRule="auto"/>
        <w:jc w:val="right"/>
        <w:rPr>
          <w:rFonts w:asciiTheme="majorBidi" w:hAnsiTheme="majorBidi" w:cstheme="majorBidi"/>
          <w:b/>
          <w:bCs/>
          <w:rtl/>
          <w:lang w:bidi="ar-EG"/>
        </w:rPr>
      </w:pPr>
      <w:r w:rsidRPr="00CE271E">
        <w:rPr>
          <w:rFonts w:asciiTheme="majorBidi" w:hAnsiTheme="majorBidi" w:cstheme="majorBidi"/>
        </w:rPr>
        <w:t>Exclusion criteria</w:t>
      </w:r>
      <w:r w:rsidRPr="00CE271E">
        <w:rPr>
          <w:rFonts w:asciiTheme="majorBidi" w:hAnsiTheme="majorBidi" w:cstheme="majorBidi"/>
          <w:b/>
          <w:bCs/>
        </w:rPr>
        <w:t>:</w:t>
      </w:r>
    </w:p>
    <w:p w:rsidR="000B728D" w:rsidRPr="00CE271E" w:rsidRDefault="000B728D" w:rsidP="00CE271E">
      <w:pPr>
        <w:spacing w:line="240" w:lineRule="auto"/>
        <w:rPr>
          <w:rFonts w:asciiTheme="majorBidi" w:hAnsiTheme="majorBidi" w:cstheme="majorBidi"/>
          <w:lang w:bidi="ar-EG"/>
        </w:rPr>
      </w:pPr>
      <w:proofErr w:type="gramStart"/>
      <w:r w:rsidRPr="00CE271E">
        <w:rPr>
          <w:rFonts w:asciiTheme="majorBidi" w:hAnsiTheme="majorBidi" w:cstheme="majorBidi"/>
        </w:rPr>
        <w:t>1-Subjects with history of ocular trauma or laser treatment.</w:t>
      </w:r>
      <w:proofErr w:type="gramEnd"/>
      <w:r w:rsidRPr="00CE271E">
        <w:rPr>
          <w:rFonts w:asciiTheme="majorBidi" w:hAnsiTheme="majorBidi" w:cstheme="majorBidi"/>
        </w:rPr>
        <w:t xml:space="preserve">                                            2-All subjects with diabetes more than 10 years and /or with significant diabetic retinopathy                                                                                                                       </w:t>
      </w:r>
    </w:p>
    <w:p w:rsidR="000B728D" w:rsidRPr="00CE271E" w:rsidRDefault="000B728D" w:rsidP="00CE271E">
      <w:pPr>
        <w:spacing w:line="240" w:lineRule="auto"/>
        <w:jc w:val="right"/>
        <w:rPr>
          <w:rFonts w:asciiTheme="majorBidi" w:hAnsiTheme="majorBidi" w:cstheme="majorBidi"/>
          <w:b/>
          <w:bCs/>
          <w:u w:val="single"/>
        </w:rPr>
      </w:pPr>
      <w:r w:rsidRPr="00CE271E">
        <w:rPr>
          <w:rFonts w:asciiTheme="majorBidi" w:hAnsiTheme="majorBidi" w:cstheme="majorBidi"/>
        </w:rPr>
        <w:t xml:space="preserve">3-Any disease or medication affecting the VF </w:t>
      </w:r>
      <w:proofErr w:type="gramStart"/>
      <w:r w:rsidRPr="00CE271E">
        <w:rPr>
          <w:rFonts w:asciiTheme="majorBidi" w:hAnsiTheme="majorBidi" w:cstheme="majorBidi"/>
        </w:rPr>
        <w:t>or  RNFL</w:t>
      </w:r>
      <w:proofErr w:type="gramEnd"/>
    </w:p>
    <w:p w:rsidR="000B728D" w:rsidRPr="00CE271E" w:rsidRDefault="000B728D" w:rsidP="00CE271E">
      <w:pPr>
        <w:spacing w:line="240" w:lineRule="auto"/>
        <w:jc w:val="right"/>
        <w:rPr>
          <w:rFonts w:asciiTheme="majorBidi" w:hAnsiTheme="majorBidi" w:cstheme="majorBidi"/>
          <w:rtl/>
          <w:lang w:bidi="ar-EG"/>
        </w:rPr>
      </w:pPr>
      <w:r w:rsidRPr="00CE271E">
        <w:rPr>
          <w:rFonts w:asciiTheme="majorBidi" w:hAnsiTheme="majorBidi" w:cstheme="majorBidi"/>
          <w:b/>
          <w:bCs/>
          <w:u w:val="single"/>
        </w:rPr>
        <w:t xml:space="preserve"> </w:t>
      </w:r>
      <w:r w:rsidRPr="00CE271E">
        <w:rPr>
          <w:rFonts w:asciiTheme="majorBidi" w:hAnsiTheme="majorBidi" w:cstheme="majorBidi"/>
          <w:u w:val="single"/>
        </w:rPr>
        <w:t>Group 2(</w:t>
      </w:r>
      <w:proofErr w:type="gramStart"/>
      <w:r w:rsidRPr="00CE271E">
        <w:rPr>
          <w:rFonts w:asciiTheme="majorBidi" w:hAnsiTheme="majorBidi" w:cstheme="majorBidi"/>
          <w:u w:val="single"/>
        </w:rPr>
        <w:t>controls )</w:t>
      </w:r>
      <w:proofErr w:type="gramEnd"/>
      <w:r w:rsidRPr="00CE271E">
        <w:rPr>
          <w:rFonts w:asciiTheme="majorBidi" w:hAnsiTheme="majorBidi" w:cstheme="majorBidi"/>
          <w:u w:val="single"/>
        </w:rPr>
        <w:t>;</w:t>
      </w:r>
    </w:p>
    <w:p w:rsidR="000B728D" w:rsidRPr="00CE271E" w:rsidRDefault="000B728D" w:rsidP="00CE271E">
      <w:pPr>
        <w:spacing w:line="240" w:lineRule="auto"/>
        <w:jc w:val="right"/>
        <w:rPr>
          <w:rFonts w:asciiTheme="majorBidi" w:hAnsiTheme="majorBidi" w:cstheme="majorBidi"/>
        </w:rPr>
      </w:pPr>
      <w:r w:rsidRPr="00CE271E">
        <w:rPr>
          <w:rFonts w:asciiTheme="majorBidi" w:hAnsiTheme="majorBidi" w:cstheme="majorBidi"/>
        </w:rPr>
        <w:t xml:space="preserve">     All eyes included were having no history of increased IOP, normal SAP result and normal appearance of ONH.</w:t>
      </w:r>
    </w:p>
    <w:p w:rsidR="000B728D" w:rsidRPr="00CE271E" w:rsidRDefault="00004F5F" w:rsidP="00CE271E">
      <w:pPr>
        <w:spacing w:line="240" w:lineRule="auto"/>
        <w:jc w:val="right"/>
        <w:rPr>
          <w:rFonts w:asciiTheme="majorBidi" w:hAnsiTheme="majorBidi" w:cstheme="majorBidi"/>
          <w:rtl/>
          <w:lang w:bidi="ar-EG"/>
        </w:rPr>
      </w:pPr>
      <w:r w:rsidRPr="00CE271E">
        <w:rPr>
          <w:rFonts w:asciiTheme="majorBidi" w:hAnsiTheme="majorBidi" w:cstheme="majorBidi"/>
        </w:rPr>
        <w:t xml:space="preserve">All participants </w:t>
      </w:r>
      <w:r w:rsidR="000B728D" w:rsidRPr="00CE271E">
        <w:rPr>
          <w:rFonts w:asciiTheme="majorBidi" w:hAnsiTheme="majorBidi" w:cstheme="majorBidi"/>
        </w:rPr>
        <w:t>were subjected to:</w:t>
      </w:r>
    </w:p>
    <w:p w:rsidR="00004F5F" w:rsidRPr="00CE271E" w:rsidRDefault="00004F5F" w:rsidP="00CE271E">
      <w:pPr>
        <w:spacing w:line="240" w:lineRule="auto"/>
        <w:rPr>
          <w:rFonts w:asciiTheme="majorBidi" w:hAnsiTheme="majorBidi" w:cstheme="majorBidi"/>
          <w:rtl/>
          <w:lang w:bidi="ar-EG"/>
        </w:rPr>
      </w:pPr>
      <w:r w:rsidRPr="00CE271E">
        <w:rPr>
          <w:rFonts w:asciiTheme="majorBidi" w:hAnsiTheme="majorBidi" w:cstheme="majorBidi"/>
        </w:rPr>
        <w:t>1-Full history taking regarding age, family history ,use of anti</w:t>
      </w:r>
      <w:r w:rsidR="000B728D" w:rsidRPr="00CE271E">
        <w:rPr>
          <w:rFonts w:asciiTheme="majorBidi" w:hAnsiTheme="majorBidi" w:cstheme="majorBidi"/>
        </w:rPr>
        <w:t>-</w:t>
      </w:r>
      <w:r w:rsidRPr="00CE271E">
        <w:rPr>
          <w:rFonts w:asciiTheme="majorBidi" w:hAnsiTheme="majorBidi" w:cstheme="majorBidi"/>
        </w:rPr>
        <w:t xml:space="preserve">glaucomatous treatment and its duration ,presence of diabetes and its duration.                               </w:t>
      </w:r>
      <w:r w:rsidR="000B728D" w:rsidRPr="00CE271E">
        <w:rPr>
          <w:rFonts w:asciiTheme="majorBidi" w:hAnsiTheme="majorBidi" w:cstheme="majorBidi"/>
        </w:rPr>
        <w:t xml:space="preserve">    </w:t>
      </w:r>
      <w:r w:rsidRPr="00CE271E">
        <w:rPr>
          <w:rFonts w:asciiTheme="majorBidi" w:hAnsiTheme="majorBidi" w:cstheme="majorBidi"/>
        </w:rPr>
        <w:t xml:space="preserve">2-Comprehensive ophthalmological examination including best corrected visual acuity (BCVA) , intraocular pressure (IOP)measurement, slit lamp </w:t>
      </w:r>
      <w:proofErr w:type="spellStart"/>
      <w:r w:rsidRPr="00CE271E">
        <w:rPr>
          <w:rFonts w:asciiTheme="majorBidi" w:hAnsiTheme="majorBidi" w:cstheme="majorBidi"/>
        </w:rPr>
        <w:t>biomicroscopy</w:t>
      </w:r>
      <w:proofErr w:type="spellEnd"/>
      <w:r w:rsidRPr="00CE271E">
        <w:rPr>
          <w:rFonts w:asciiTheme="majorBidi" w:hAnsiTheme="majorBidi" w:cstheme="majorBidi"/>
        </w:rPr>
        <w:t xml:space="preserve"> , </w:t>
      </w:r>
      <w:proofErr w:type="spellStart"/>
      <w:r w:rsidRPr="00CE271E">
        <w:rPr>
          <w:rFonts w:asciiTheme="majorBidi" w:hAnsiTheme="majorBidi" w:cstheme="majorBidi"/>
        </w:rPr>
        <w:t>gonioscopy</w:t>
      </w:r>
      <w:proofErr w:type="spellEnd"/>
      <w:r w:rsidRPr="00CE271E">
        <w:rPr>
          <w:rFonts w:asciiTheme="majorBidi" w:hAnsiTheme="majorBidi" w:cstheme="majorBidi"/>
        </w:rPr>
        <w:t xml:space="preserve">, and </w:t>
      </w:r>
      <w:proofErr w:type="spellStart"/>
      <w:r w:rsidRPr="00CE271E">
        <w:rPr>
          <w:rFonts w:asciiTheme="majorBidi" w:hAnsiTheme="majorBidi" w:cstheme="majorBidi"/>
        </w:rPr>
        <w:t>fundus</w:t>
      </w:r>
      <w:proofErr w:type="spellEnd"/>
      <w:r w:rsidRPr="00CE271E">
        <w:rPr>
          <w:rFonts w:asciiTheme="majorBidi" w:hAnsiTheme="majorBidi" w:cstheme="majorBidi"/>
        </w:rPr>
        <w:t xml:space="preserve"> examination .                                                                             </w:t>
      </w:r>
    </w:p>
    <w:p w:rsidR="00A167A2" w:rsidRDefault="00004F5F" w:rsidP="00A167A2">
      <w:pPr>
        <w:spacing w:line="240" w:lineRule="auto"/>
        <w:jc w:val="right"/>
        <w:rPr>
          <w:rFonts w:asciiTheme="majorBidi" w:hAnsiTheme="majorBidi" w:cstheme="majorBidi"/>
          <w:sz w:val="24"/>
          <w:szCs w:val="24"/>
        </w:rPr>
      </w:pPr>
      <w:r w:rsidRPr="00CE271E">
        <w:rPr>
          <w:rFonts w:asciiTheme="majorBidi" w:hAnsiTheme="majorBidi" w:cstheme="majorBidi"/>
        </w:rPr>
        <w:t xml:space="preserve">3-Functional and structural evaluation by standard automated </w:t>
      </w:r>
      <w:proofErr w:type="spellStart"/>
      <w:r w:rsidRPr="00CE271E">
        <w:rPr>
          <w:rFonts w:asciiTheme="majorBidi" w:hAnsiTheme="majorBidi" w:cstheme="majorBidi"/>
        </w:rPr>
        <w:t>perimetry</w:t>
      </w:r>
      <w:proofErr w:type="spellEnd"/>
      <w:r w:rsidRPr="00CE271E">
        <w:rPr>
          <w:rFonts w:asciiTheme="majorBidi" w:hAnsiTheme="majorBidi" w:cstheme="majorBidi"/>
        </w:rPr>
        <w:t xml:space="preserve"> (SAP) (Humphrey field analyzer 745i) to calculate glaucoma VF severity indices and SD-OCT (Topcon 3D OCT-1 Maestro machine 2000) to detect the average and quadrants </w:t>
      </w:r>
      <w:proofErr w:type="spellStart"/>
      <w:r w:rsidRPr="00CE271E">
        <w:rPr>
          <w:rFonts w:asciiTheme="majorBidi" w:hAnsiTheme="majorBidi" w:cstheme="majorBidi"/>
        </w:rPr>
        <w:t>peripapillary</w:t>
      </w:r>
      <w:proofErr w:type="spellEnd"/>
      <w:r w:rsidRPr="00CE271E">
        <w:rPr>
          <w:rFonts w:asciiTheme="majorBidi" w:hAnsiTheme="majorBidi" w:cstheme="majorBidi"/>
        </w:rPr>
        <w:t xml:space="preserve"> </w:t>
      </w:r>
      <w:r w:rsidR="00F85F8C" w:rsidRPr="00CE271E">
        <w:rPr>
          <w:rFonts w:asciiTheme="majorBidi" w:hAnsiTheme="majorBidi" w:cstheme="majorBidi"/>
        </w:rPr>
        <w:t xml:space="preserve">retinal nerve fiber </w:t>
      </w:r>
      <w:r w:rsidRPr="00CE271E">
        <w:rPr>
          <w:rFonts w:asciiTheme="majorBidi" w:hAnsiTheme="majorBidi" w:cstheme="majorBidi"/>
        </w:rPr>
        <w:t>th</w:t>
      </w:r>
      <w:r w:rsidR="000B728D" w:rsidRPr="00CE271E">
        <w:rPr>
          <w:rFonts w:asciiTheme="majorBidi" w:hAnsiTheme="majorBidi" w:cstheme="majorBidi"/>
        </w:rPr>
        <w:t xml:space="preserve">ickness , </w:t>
      </w:r>
      <w:r w:rsidR="00F85F8C" w:rsidRPr="00CE271E">
        <w:rPr>
          <w:rFonts w:asciiTheme="majorBidi" w:hAnsiTheme="majorBidi" w:cstheme="majorBidi"/>
        </w:rPr>
        <w:t xml:space="preserve">optic nerve head </w:t>
      </w:r>
      <w:r w:rsidR="000B728D" w:rsidRPr="00CE271E">
        <w:rPr>
          <w:rFonts w:asciiTheme="majorBidi" w:hAnsiTheme="majorBidi" w:cstheme="majorBidi"/>
        </w:rPr>
        <w:t>and ganglion cells</w:t>
      </w:r>
      <w:r w:rsidR="00F85F8C" w:rsidRPr="00CE271E">
        <w:rPr>
          <w:rFonts w:asciiTheme="majorBidi" w:hAnsiTheme="majorBidi" w:cstheme="majorBidi"/>
        </w:rPr>
        <w:t xml:space="preserve">  </w:t>
      </w:r>
    </w:p>
    <w:p w:rsidR="00A167A2" w:rsidRDefault="00F85F8C" w:rsidP="00A167A2">
      <w:pPr>
        <w:spacing w:line="240" w:lineRule="auto"/>
        <w:jc w:val="right"/>
        <w:rPr>
          <w:rFonts w:asciiTheme="majorBidi" w:hAnsiTheme="majorBidi" w:cstheme="majorBidi"/>
          <w:lang w:bidi="ar-EG"/>
        </w:rPr>
      </w:pPr>
      <w:r>
        <w:rPr>
          <w:rFonts w:asciiTheme="majorBidi" w:hAnsiTheme="majorBidi" w:cstheme="majorBidi"/>
          <w:sz w:val="24"/>
          <w:szCs w:val="24"/>
        </w:rPr>
        <w:t xml:space="preserve">   </w:t>
      </w:r>
      <w:r w:rsidRPr="00F85F8C">
        <w:rPr>
          <w:rFonts w:asciiTheme="majorBidi" w:hAnsiTheme="majorBidi" w:cstheme="majorBidi"/>
          <w:b/>
          <w:bCs/>
          <w:sz w:val="24"/>
          <w:szCs w:val="24"/>
          <w:lang w:bidi="ar-EG"/>
        </w:rPr>
        <w:t>R</w:t>
      </w:r>
      <w:r>
        <w:rPr>
          <w:rFonts w:asciiTheme="majorBidi" w:hAnsiTheme="majorBidi" w:cstheme="majorBidi"/>
          <w:b/>
          <w:bCs/>
          <w:sz w:val="24"/>
          <w:szCs w:val="24"/>
          <w:lang w:bidi="ar-EG"/>
        </w:rPr>
        <w:t xml:space="preserve">esults                                                                                                                     </w:t>
      </w:r>
      <w:r w:rsidRPr="00CE271E">
        <w:rPr>
          <w:rFonts w:asciiTheme="majorBidi" w:hAnsiTheme="majorBidi" w:cstheme="majorBidi"/>
          <w:b/>
          <w:bCs/>
          <w:lang w:bidi="ar-EG"/>
        </w:rPr>
        <w:t xml:space="preserve">      </w:t>
      </w:r>
      <w:r w:rsidR="000B728D" w:rsidRPr="00CE271E">
        <w:rPr>
          <w:rFonts w:asciiTheme="majorBidi" w:hAnsiTheme="majorBidi" w:cstheme="majorBidi"/>
          <w:lang w:bidi="ar-EG"/>
        </w:rPr>
        <w:t>Correlation</w:t>
      </w:r>
      <w:r w:rsidRPr="00CE271E">
        <w:rPr>
          <w:rFonts w:asciiTheme="majorBidi" w:hAnsiTheme="majorBidi" w:cstheme="majorBidi"/>
          <w:lang w:bidi="ar-EG"/>
        </w:rPr>
        <w:t xml:space="preserve"> coefficient between VF severity </w:t>
      </w:r>
      <w:r w:rsidR="000B728D" w:rsidRPr="00CE271E">
        <w:rPr>
          <w:rFonts w:asciiTheme="majorBidi" w:hAnsiTheme="majorBidi" w:cstheme="majorBidi"/>
          <w:lang w:bidi="ar-EG"/>
        </w:rPr>
        <w:t>indices and OCT parameters among glaucoma patients</w:t>
      </w:r>
      <w:r w:rsidR="001E5F1B" w:rsidRPr="00CE271E">
        <w:rPr>
          <w:rFonts w:asciiTheme="majorBidi" w:hAnsiTheme="majorBidi" w:cstheme="majorBidi"/>
          <w:lang w:bidi="ar-EG"/>
        </w:rPr>
        <w:t xml:space="preserve"> table (1): </w:t>
      </w:r>
      <w:r w:rsidRPr="00CE271E">
        <w:rPr>
          <w:rFonts w:asciiTheme="majorBidi" w:hAnsiTheme="majorBidi" w:cstheme="majorBidi"/>
          <w:lang w:bidi="ar-EG"/>
        </w:rPr>
        <w:t xml:space="preserve">                                                                                      </w:t>
      </w:r>
      <w:r w:rsidR="000B728D" w:rsidRPr="00CE271E">
        <w:rPr>
          <w:rFonts w:asciiTheme="majorBidi" w:hAnsiTheme="majorBidi" w:cstheme="majorBidi"/>
          <w:lang w:bidi="ar-EG"/>
        </w:rPr>
        <w:t xml:space="preserve">         </w:t>
      </w:r>
    </w:p>
    <w:p w:rsidR="000B728D" w:rsidRPr="00A167A2" w:rsidRDefault="000B728D" w:rsidP="00A167A2">
      <w:pPr>
        <w:spacing w:line="240" w:lineRule="auto"/>
        <w:jc w:val="right"/>
        <w:rPr>
          <w:rFonts w:asciiTheme="majorBidi" w:hAnsiTheme="majorBidi" w:cstheme="majorBidi"/>
          <w:sz w:val="24"/>
          <w:szCs w:val="24"/>
        </w:rPr>
      </w:pPr>
      <w:r w:rsidRPr="00CE271E">
        <w:rPr>
          <w:rFonts w:asciiTheme="majorBidi" w:hAnsiTheme="majorBidi" w:cstheme="majorBidi"/>
          <w:lang w:bidi="ar-EG"/>
        </w:rPr>
        <w:t>There were strong correlations between MD and each of  total , Inferior , Superior p RNFL respectively (</w:t>
      </w:r>
      <w:r w:rsidRPr="00CE271E">
        <w:rPr>
          <w:rFonts w:asciiTheme="majorBidi" w:hAnsiTheme="majorBidi" w:cstheme="majorBidi"/>
          <w:color w:val="000000"/>
        </w:rPr>
        <w:t>p &lt;0.001</w:t>
      </w:r>
      <w:r w:rsidRPr="00CE271E">
        <w:rPr>
          <w:rFonts w:asciiTheme="majorBidi" w:hAnsiTheme="majorBidi" w:cstheme="majorBidi"/>
          <w:lang w:bidi="ar-EG"/>
        </w:rPr>
        <w:t>)</w:t>
      </w:r>
      <w:r w:rsidR="00F85F8C" w:rsidRPr="00CE271E">
        <w:rPr>
          <w:rFonts w:asciiTheme="majorBidi" w:hAnsiTheme="majorBidi" w:cstheme="majorBidi"/>
          <w:lang w:bidi="ar-EG"/>
        </w:rPr>
        <w:t xml:space="preserve"> also there is moderate correlation between MD and each of superior  and total GCC, superior m RNFL , total GCL\IPL ,total m RNFL , superior  and inferior GCL \IPL, inferior GCC, nasal and temporal p RNFL , inferior m RNFL, vertical and linear CDR, cup area , C\D ratio respectively  (</w:t>
      </w:r>
      <w:r w:rsidR="00F85F8C" w:rsidRPr="00CE271E">
        <w:rPr>
          <w:rFonts w:asciiTheme="majorBidi" w:hAnsiTheme="majorBidi" w:cstheme="majorBidi"/>
          <w:color w:val="000000"/>
        </w:rPr>
        <w:t>p &lt;0.001</w:t>
      </w:r>
      <w:r w:rsidR="00F85F8C" w:rsidRPr="00CE271E">
        <w:rPr>
          <w:rFonts w:asciiTheme="majorBidi" w:hAnsiTheme="majorBidi" w:cstheme="majorBidi"/>
          <w:lang w:bidi="ar-EG"/>
        </w:rPr>
        <w:t xml:space="preserve">). </w:t>
      </w:r>
      <w:r w:rsidR="00F85F8C" w:rsidRPr="00CE271E">
        <w:rPr>
          <w:rFonts w:asciiTheme="majorBidi" w:hAnsiTheme="majorBidi" w:cstheme="majorBidi"/>
          <w:rtl/>
          <w:lang w:bidi="ar-EG"/>
        </w:rPr>
        <w:t xml:space="preserve">                                   </w:t>
      </w:r>
    </w:p>
    <w:p w:rsidR="00A167A2" w:rsidRDefault="000B728D" w:rsidP="00CE271E">
      <w:pPr>
        <w:bidi w:val="0"/>
        <w:spacing w:line="240" w:lineRule="auto"/>
        <w:jc w:val="left"/>
        <w:rPr>
          <w:rFonts w:asciiTheme="majorBidi" w:hAnsiTheme="majorBidi" w:cstheme="majorBidi"/>
          <w:lang w:bidi="ar-EG"/>
        </w:rPr>
      </w:pPr>
      <w:r w:rsidRPr="00CE271E">
        <w:rPr>
          <w:rFonts w:asciiTheme="majorBidi" w:hAnsiTheme="majorBidi" w:cstheme="majorBidi"/>
          <w:lang w:bidi="ar-EG"/>
        </w:rPr>
        <w:t xml:space="preserve">      PSD  is moderately correlated with total ,inferior and superior  p RNFL and vertical CDR  respectively (</w:t>
      </w:r>
      <w:r w:rsidRPr="00CE271E">
        <w:rPr>
          <w:rFonts w:asciiTheme="majorBidi" w:hAnsiTheme="majorBidi" w:cstheme="majorBidi"/>
          <w:color w:val="000000"/>
        </w:rPr>
        <w:t>p &lt;0.001</w:t>
      </w:r>
      <w:r w:rsidRPr="00CE271E">
        <w:rPr>
          <w:rFonts w:asciiTheme="majorBidi" w:hAnsiTheme="majorBidi" w:cstheme="majorBidi"/>
          <w:lang w:bidi="ar-EG"/>
        </w:rPr>
        <w:t>) , also there is moderate correlation between PSD and total GCL\IPL ,nasal p RNFL ,total GCC, inferior and superior GCL\IPL ,inferior and superior GCC respectively  (</w:t>
      </w:r>
      <w:r w:rsidRPr="00CE271E">
        <w:rPr>
          <w:rFonts w:asciiTheme="majorBidi" w:hAnsiTheme="majorBidi" w:cstheme="majorBidi"/>
          <w:color w:val="000000"/>
        </w:rPr>
        <w:t>p &lt;0.001</w:t>
      </w:r>
      <w:r w:rsidRPr="00CE271E">
        <w:rPr>
          <w:rFonts w:asciiTheme="majorBidi" w:hAnsiTheme="majorBidi" w:cstheme="majorBidi"/>
          <w:lang w:bidi="ar-EG"/>
        </w:rPr>
        <w:t>).</w:t>
      </w:r>
      <w:r w:rsidR="00F85F8C" w:rsidRPr="00CE271E">
        <w:rPr>
          <w:rFonts w:asciiTheme="majorBidi" w:hAnsiTheme="majorBidi" w:cstheme="majorBidi"/>
          <w:lang w:bidi="ar-EG"/>
        </w:rPr>
        <w:t xml:space="preserve">    </w:t>
      </w:r>
      <w:r w:rsidRPr="00CE271E">
        <w:rPr>
          <w:rFonts w:asciiTheme="majorBidi" w:hAnsiTheme="majorBidi" w:cstheme="majorBidi"/>
          <w:lang w:bidi="ar-EG"/>
        </w:rPr>
        <w:t xml:space="preserve">                                                        </w:t>
      </w:r>
    </w:p>
    <w:p w:rsidR="00F85F8C" w:rsidRPr="00CE271E" w:rsidRDefault="00F85F8C" w:rsidP="00A167A2">
      <w:pPr>
        <w:bidi w:val="0"/>
        <w:spacing w:line="240" w:lineRule="auto"/>
        <w:jc w:val="left"/>
        <w:rPr>
          <w:rFonts w:asciiTheme="majorBidi" w:hAnsiTheme="majorBidi" w:cstheme="majorBidi"/>
          <w:lang w:bidi="ar-EG"/>
        </w:rPr>
      </w:pPr>
    </w:p>
    <w:p w:rsidR="00F85F8C" w:rsidRPr="00CE271E" w:rsidRDefault="00F85F8C" w:rsidP="00386ADD">
      <w:pPr>
        <w:spacing w:line="240" w:lineRule="auto"/>
        <w:jc w:val="right"/>
        <w:rPr>
          <w:rFonts w:asciiTheme="majorBidi" w:hAnsiTheme="majorBidi" w:cstheme="majorBidi"/>
          <w:i/>
          <w:iCs/>
          <w:rtl/>
          <w:lang w:bidi="ar-EG"/>
        </w:rPr>
      </w:pPr>
      <w:r w:rsidRPr="00CE271E">
        <w:rPr>
          <w:rFonts w:asciiTheme="majorBidi" w:hAnsiTheme="majorBidi" w:cstheme="majorBidi"/>
          <w:i/>
          <w:iCs/>
          <w:lang w:bidi="ar-EG"/>
        </w:rPr>
        <w:lastRenderedPageBreak/>
        <w:t xml:space="preserve">Correlation between OCT disc parameters and GCL </w:t>
      </w:r>
      <w:proofErr w:type="gramStart"/>
      <w:r w:rsidRPr="00CE271E">
        <w:rPr>
          <w:rFonts w:asciiTheme="majorBidi" w:hAnsiTheme="majorBidi" w:cstheme="majorBidi"/>
          <w:i/>
          <w:iCs/>
          <w:lang w:bidi="ar-EG"/>
        </w:rPr>
        <w:t>parameters</w:t>
      </w:r>
      <w:r w:rsidR="00386ADD">
        <w:rPr>
          <w:rFonts w:asciiTheme="majorBidi" w:hAnsiTheme="majorBidi" w:cstheme="majorBidi"/>
          <w:i/>
          <w:iCs/>
          <w:lang w:bidi="ar-EG"/>
        </w:rPr>
        <w:t xml:space="preserve"> </w:t>
      </w:r>
      <w:r w:rsidRPr="00CE271E">
        <w:rPr>
          <w:rFonts w:asciiTheme="majorBidi" w:hAnsiTheme="majorBidi" w:cstheme="majorBidi"/>
          <w:i/>
          <w:iCs/>
          <w:lang w:bidi="ar-EG"/>
        </w:rPr>
        <w:t>:</w:t>
      </w:r>
      <w:proofErr w:type="gramEnd"/>
      <w:r w:rsidRPr="00CE271E">
        <w:rPr>
          <w:rFonts w:asciiTheme="majorBidi" w:hAnsiTheme="majorBidi" w:cstheme="majorBidi"/>
          <w:i/>
          <w:iCs/>
          <w:lang w:bidi="ar-EG"/>
        </w:rPr>
        <w:t xml:space="preserve"> </w:t>
      </w:r>
    </w:p>
    <w:p w:rsidR="00F85F8C" w:rsidRPr="00CE271E" w:rsidRDefault="00F85F8C" w:rsidP="00CE271E">
      <w:pPr>
        <w:autoSpaceDE w:val="0"/>
        <w:autoSpaceDN w:val="0"/>
        <w:bidi w:val="0"/>
        <w:adjustRightInd w:val="0"/>
        <w:spacing w:line="240" w:lineRule="auto"/>
        <w:rPr>
          <w:rFonts w:asciiTheme="majorBidi" w:hAnsiTheme="majorBidi" w:cstheme="majorBidi"/>
          <w:color w:val="000000"/>
          <w:lang w:bidi="ar-EG"/>
        </w:rPr>
      </w:pPr>
      <w:r w:rsidRPr="00CE271E">
        <w:rPr>
          <w:rFonts w:asciiTheme="majorBidi" w:hAnsiTheme="majorBidi" w:cstheme="majorBidi"/>
          <w:lang w:bidi="ar-EG"/>
        </w:rPr>
        <w:t>Inferior p RNFL is strongly correlated to inferior GCL++,  followed by total GCL++ , then inferior GCL+ respectively  (</w:t>
      </w:r>
      <w:r w:rsidRPr="00CE271E">
        <w:rPr>
          <w:rFonts w:asciiTheme="majorBidi" w:hAnsiTheme="majorBidi" w:cstheme="majorBidi"/>
          <w:color w:val="000000"/>
        </w:rPr>
        <w:t>p &lt;0.001</w:t>
      </w:r>
      <w:r w:rsidRPr="00CE271E">
        <w:rPr>
          <w:rFonts w:asciiTheme="majorBidi" w:hAnsiTheme="majorBidi" w:cstheme="majorBidi"/>
          <w:lang w:bidi="ar-EG"/>
        </w:rPr>
        <w:t>)</w:t>
      </w:r>
      <w:r w:rsidRPr="00CE271E">
        <w:rPr>
          <w:rFonts w:asciiTheme="majorBidi" w:hAnsiTheme="majorBidi" w:cstheme="majorBidi"/>
          <w:color w:val="000000"/>
          <w:lang w:bidi="ar-EG"/>
        </w:rPr>
        <w:t>.</w:t>
      </w:r>
    </w:p>
    <w:p w:rsidR="00F85F8C" w:rsidRPr="00CE271E" w:rsidRDefault="00F85F8C" w:rsidP="00386ADD">
      <w:pPr>
        <w:autoSpaceDE w:val="0"/>
        <w:autoSpaceDN w:val="0"/>
        <w:bidi w:val="0"/>
        <w:adjustRightInd w:val="0"/>
        <w:spacing w:line="240" w:lineRule="auto"/>
        <w:rPr>
          <w:rFonts w:asciiTheme="majorBidi" w:hAnsiTheme="majorBidi" w:cstheme="majorBidi"/>
          <w:color w:val="000000"/>
          <w:lang w:bidi="ar-EG"/>
        </w:rPr>
      </w:pPr>
      <w:r w:rsidRPr="00CE271E">
        <w:rPr>
          <w:rFonts w:asciiTheme="majorBidi" w:hAnsiTheme="majorBidi" w:cstheme="majorBidi"/>
          <w:i/>
          <w:iCs/>
        </w:rPr>
        <w:t xml:space="preserve">ROC Curve analysis of OCT parameters to differentiate cases from </w:t>
      </w:r>
      <w:proofErr w:type="gramStart"/>
      <w:r w:rsidRPr="00CE271E">
        <w:rPr>
          <w:rFonts w:asciiTheme="majorBidi" w:hAnsiTheme="majorBidi" w:cstheme="majorBidi"/>
          <w:i/>
          <w:iCs/>
        </w:rPr>
        <w:t>controls</w:t>
      </w:r>
      <w:r w:rsidRPr="00CE271E">
        <w:rPr>
          <w:rFonts w:asciiTheme="majorBidi" w:hAnsiTheme="majorBidi" w:cstheme="majorBidi"/>
        </w:rPr>
        <w:t xml:space="preserve"> :</w:t>
      </w:r>
      <w:proofErr w:type="gramEnd"/>
      <w:r w:rsidRPr="00CE271E">
        <w:rPr>
          <w:rFonts w:asciiTheme="majorBidi" w:hAnsiTheme="majorBidi" w:cstheme="majorBidi"/>
          <w:u w:val="single"/>
        </w:rPr>
        <w:t xml:space="preserve"> </w:t>
      </w:r>
      <w:r w:rsidRPr="00CE271E">
        <w:rPr>
          <w:rFonts w:asciiTheme="majorBidi" w:hAnsiTheme="majorBidi" w:cstheme="majorBidi"/>
        </w:rPr>
        <w:t>Regarding the "area under curve (AUC)"</w:t>
      </w:r>
      <w:r w:rsidR="005D4DF2" w:rsidRPr="00CE271E">
        <w:rPr>
          <w:rFonts w:asciiTheme="majorBidi" w:hAnsiTheme="majorBidi" w:cstheme="majorBidi"/>
        </w:rPr>
        <w:t>, table (</w:t>
      </w:r>
      <w:r w:rsidR="00386ADD">
        <w:rPr>
          <w:rFonts w:asciiTheme="majorBidi" w:hAnsiTheme="majorBidi" w:cstheme="majorBidi"/>
        </w:rPr>
        <w:t>2</w:t>
      </w:r>
      <w:r w:rsidR="005D4DF2" w:rsidRPr="00CE271E">
        <w:rPr>
          <w:rFonts w:asciiTheme="majorBidi" w:hAnsiTheme="majorBidi" w:cstheme="majorBidi"/>
        </w:rPr>
        <w:t>)</w:t>
      </w:r>
      <w:r w:rsidRPr="00CE271E">
        <w:rPr>
          <w:rFonts w:asciiTheme="majorBidi" w:hAnsiTheme="majorBidi" w:cstheme="majorBidi"/>
        </w:rPr>
        <w:t>: the most important factors to differentiate cases from control are in order: total GCC, followed by inferior GCC, then total p .RNFL and total m. RNFL</w:t>
      </w:r>
      <w:r w:rsidRPr="00CE271E">
        <w:rPr>
          <w:rFonts w:asciiTheme="majorBidi" w:hAnsiTheme="majorBidi" w:cstheme="majorBidi"/>
          <w:color w:val="000000"/>
          <w:lang w:bidi="ar-EG"/>
        </w:rPr>
        <w:t>.</w:t>
      </w:r>
    </w:p>
    <w:p w:rsidR="00F85F8C" w:rsidRPr="00CE271E" w:rsidRDefault="00F85F8C" w:rsidP="00CE271E">
      <w:pPr>
        <w:bidi w:val="0"/>
        <w:spacing w:line="240" w:lineRule="auto"/>
        <w:rPr>
          <w:rFonts w:asciiTheme="majorBidi" w:hAnsiTheme="majorBidi" w:cstheme="majorBidi"/>
          <w:b/>
          <w:bCs/>
          <w:u w:val="dotted"/>
          <w:lang w:bidi="ar-EG"/>
        </w:rPr>
      </w:pPr>
      <w:r w:rsidRPr="00CE271E">
        <w:rPr>
          <w:rFonts w:asciiTheme="majorBidi" w:hAnsiTheme="majorBidi" w:cstheme="majorBidi"/>
          <w:b/>
          <w:bCs/>
          <w:u w:val="dotted"/>
          <w:lang w:bidi="ar-EG"/>
        </w:rPr>
        <w:t>Discussion:</w:t>
      </w:r>
    </w:p>
    <w:p w:rsidR="00A167A2" w:rsidRDefault="00051CF9" w:rsidP="00CE271E">
      <w:pPr>
        <w:spacing w:line="240" w:lineRule="auto"/>
        <w:jc w:val="right"/>
        <w:rPr>
          <w:rFonts w:asciiTheme="majorBidi" w:hAnsiTheme="majorBidi" w:cstheme="majorBidi"/>
        </w:rPr>
      </w:pPr>
      <w:r w:rsidRPr="00CE271E">
        <w:rPr>
          <w:rFonts w:asciiTheme="majorBidi" w:hAnsiTheme="majorBidi" w:cstheme="majorBidi"/>
        </w:rPr>
        <w:t>In this study we correlate OCT parameters (ONH, RNFL, GCC) with VF severity indices (MD</w:t>
      </w:r>
      <w:proofErr w:type="gramStart"/>
      <w:r w:rsidRPr="00CE271E">
        <w:rPr>
          <w:rFonts w:asciiTheme="majorBidi" w:hAnsiTheme="majorBidi" w:cstheme="majorBidi"/>
        </w:rPr>
        <w:t>,PSD</w:t>
      </w:r>
      <w:proofErr w:type="gramEnd"/>
      <w:r w:rsidRPr="00CE271E">
        <w:rPr>
          <w:rFonts w:asciiTheme="majorBidi" w:hAnsiTheme="majorBidi" w:cstheme="majorBidi"/>
        </w:rPr>
        <w:t xml:space="preserve">). </w:t>
      </w:r>
      <w:r w:rsidRPr="00CE271E">
        <w:rPr>
          <w:rFonts w:asciiTheme="majorBidi" w:hAnsiTheme="majorBidi" w:cstheme="majorBidi"/>
          <w:lang w:bidi="ar-EG"/>
        </w:rPr>
        <w:t xml:space="preserve">Strong correlation between MD and </w:t>
      </w:r>
      <w:proofErr w:type="spellStart"/>
      <w:r w:rsidRPr="00CE271E">
        <w:rPr>
          <w:rFonts w:asciiTheme="majorBidi" w:hAnsiTheme="majorBidi" w:cstheme="majorBidi"/>
          <w:lang w:bidi="ar-EG"/>
        </w:rPr>
        <w:t>peripapillary</w:t>
      </w:r>
      <w:proofErr w:type="spellEnd"/>
      <w:r w:rsidRPr="00CE271E">
        <w:rPr>
          <w:rFonts w:asciiTheme="majorBidi" w:hAnsiTheme="majorBidi" w:cstheme="majorBidi"/>
          <w:lang w:bidi="ar-EG"/>
        </w:rPr>
        <w:t xml:space="preserve"> RNFL was identified and moderate correlation between PSD and </w:t>
      </w:r>
      <w:proofErr w:type="spellStart"/>
      <w:r w:rsidRPr="00CE271E">
        <w:rPr>
          <w:rFonts w:asciiTheme="majorBidi" w:hAnsiTheme="majorBidi" w:cstheme="majorBidi"/>
          <w:lang w:bidi="ar-EG"/>
        </w:rPr>
        <w:t>peripapillary</w:t>
      </w:r>
      <w:proofErr w:type="spellEnd"/>
      <w:r w:rsidRPr="00CE271E">
        <w:rPr>
          <w:rFonts w:asciiTheme="majorBidi" w:hAnsiTheme="majorBidi" w:cstheme="majorBidi"/>
          <w:lang w:bidi="ar-EG"/>
        </w:rPr>
        <w:t xml:space="preserve"> RNFL.</w:t>
      </w:r>
      <w:r w:rsidR="00FB0405" w:rsidRPr="00CE271E">
        <w:rPr>
          <w:rFonts w:asciiTheme="majorBidi" w:hAnsiTheme="majorBidi" w:cstheme="majorBidi"/>
          <w:lang w:bidi="ar-EG"/>
        </w:rPr>
        <w:t xml:space="preserve">               </w:t>
      </w:r>
      <w:r w:rsidRPr="00CE271E">
        <w:rPr>
          <w:rFonts w:asciiTheme="majorBidi" w:hAnsiTheme="majorBidi" w:cstheme="majorBidi"/>
        </w:rPr>
        <w:t xml:space="preserve">  </w:t>
      </w:r>
    </w:p>
    <w:p w:rsidR="002518C1" w:rsidRPr="00CE271E" w:rsidRDefault="00051CF9" w:rsidP="00CE271E">
      <w:pPr>
        <w:spacing w:line="240" w:lineRule="auto"/>
        <w:jc w:val="right"/>
        <w:rPr>
          <w:rFonts w:asciiTheme="majorBidi" w:hAnsiTheme="majorBidi" w:cstheme="majorBidi"/>
          <w:color w:val="000000"/>
        </w:rPr>
      </w:pPr>
      <w:r w:rsidRPr="00CE271E">
        <w:rPr>
          <w:rFonts w:asciiTheme="majorBidi" w:hAnsiTheme="majorBidi" w:cstheme="majorBidi"/>
        </w:rPr>
        <w:t xml:space="preserve">  In many studies in the past, a moderate correlation was identified between the </w:t>
      </w:r>
      <w:proofErr w:type="spellStart"/>
      <w:r w:rsidRPr="00CE271E">
        <w:rPr>
          <w:rFonts w:asciiTheme="majorBidi" w:hAnsiTheme="majorBidi" w:cstheme="majorBidi"/>
        </w:rPr>
        <w:t>peripapillary</w:t>
      </w:r>
      <w:proofErr w:type="spellEnd"/>
      <w:r w:rsidRPr="00CE271E">
        <w:rPr>
          <w:rFonts w:asciiTheme="majorBidi" w:hAnsiTheme="majorBidi" w:cstheme="majorBidi"/>
        </w:rPr>
        <w:t xml:space="preserve"> RNFL thicknesses measured by SD OCT and the glaucoma VF severi</w:t>
      </w:r>
      <w:r w:rsidR="005D4DF2" w:rsidRPr="00CE271E">
        <w:rPr>
          <w:rFonts w:asciiTheme="majorBidi" w:hAnsiTheme="majorBidi" w:cstheme="majorBidi"/>
        </w:rPr>
        <w:t xml:space="preserve">ty (MD, PSD) as in the study </w:t>
      </w:r>
      <w:proofErr w:type="gramStart"/>
      <w:r w:rsidR="005D4DF2" w:rsidRPr="00CE271E">
        <w:rPr>
          <w:rFonts w:asciiTheme="majorBidi" w:hAnsiTheme="majorBidi" w:cstheme="majorBidi"/>
        </w:rPr>
        <w:t xml:space="preserve">of </w:t>
      </w:r>
      <w:r w:rsidRPr="00CE271E">
        <w:rPr>
          <w:rFonts w:asciiTheme="majorBidi" w:hAnsiTheme="majorBidi" w:cstheme="majorBidi"/>
        </w:rPr>
        <w:t xml:space="preserve"> Kang</w:t>
      </w:r>
      <w:proofErr w:type="gramEnd"/>
      <w:r w:rsidRPr="00CE271E">
        <w:rPr>
          <w:rFonts w:asciiTheme="majorBidi" w:hAnsiTheme="majorBidi" w:cstheme="majorBidi"/>
        </w:rPr>
        <w:t xml:space="preserve"> EM ,et al</w:t>
      </w:r>
      <w:r w:rsidRPr="00CE271E">
        <w:rPr>
          <w:rFonts w:asciiTheme="majorBidi" w:hAnsiTheme="majorBidi" w:cstheme="majorBidi"/>
          <w:color w:val="000000"/>
        </w:rPr>
        <w:t>.</w:t>
      </w:r>
      <w:r w:rsidRPr="00CE271E">
        <w:rPr>
          <w:rFonts w:asciiTheme="majorBidi" w:hAnsiTheme="majorBidi" w:cstheme="majorBidi"/>
          <w:b/>
          <w:bCs/>
          <w:color w:val="000000"/>
        </w:rPr>
        <w:t xml:space="preserve"> </w:t>
      </w:r>
      <w:r w:rsidR="002518C1" w:rsidRPr="00CE271E">
        <w:rPr>
          <w:rFonts w:asciiTheme="majorBidi" w:hAnsiTheme="majorBidi" w:cstheme="majorBidi"/>
          <w:b/>
          <w:bCs/>
          <w:color w:val="000000"/>
          <w:vertAlign w:val="superscript"/>
        </w:rPr>
        <w:t>5</w:t>
      </w:r>
      <w:r w:rsidRPr="00CE271E">
        <w:rPr>
          <w:rFonts w:asciiTheme="majorBidi" w:hAnsiTheme="majorBidi" w:cstheme="majorBidi"/>
          <w:color w:val="000000"/>
        </w:rPr>
        <w:t>the absolute values of the correlation coefficients for the average RNFL thickness with MD and PSD were just greater than 0.5</w:t>
      </w:r>
      <w:r w:rsidR="00FB0405" w:rsidRPr="00CE271E">
        <w:rPr>
          <w:rFonts w:asciiTheme="majorBidi" w:hAnsiTheme="majorBidi" w:cstheme="majorBidi"/>
          <w:color w:val="000000"/>
        </w:rPr>
        <w:t xml:space="preserve"> </w:t>
      </w:r>
      <w:r w:rsidRPr="00CE271E">
        <w:rPr>
          <w:rFonts w:asciiTheme="majorBidi" w:hAnsiTheme="majorBidi" w:cstheme="majorBidi"/>
          <w:color w:val="000000"/>
        </w:rPr>
        <w:t>( they were 0.562  and -0.514 respectively ).</w:t>
      </w:r>
      <w:r w:rsidR="00FB0405" w:rsidRPr="00CE271E">
        <w:rPr>
          <w:rFonts w:asciiTheme="majorBidi" w:hAnsiTheme="majorBidi" w:cstheme="majorBidi"/>
          <w:color w:val="000000"/>
        </w:rPr>
        <w:t xml:space="preserve">   </w:t>
      </w:r>
      <w:r w:rsidRPr="00CE271E">
        <w:rPr>
          <w:rFonts w:asciiTheme="majorBidi" w:hAnsiTheme="majorBidi" w:cstheme="majorBidi"/>
          <w:color w:val="000000"/>
        </w:rPr>
        <w:t xml:space="preserve">       </w:t>
      </w:r>
      <w:r w:rsidR="00FB0405" w:rsidRPr="00CE271E">
        <w:rPr>
          <w:rFonts w:asciiTheme="majorBidi" w:hAnsiTheme="majorBidi" w:cstheme="majorBidi"/>
          <w:color w:val="000000"/>
        </w:rPr>
        <w:t xml:space="preserve">                    </w:t>
      </w:r>
      <w:r w:rsidRPr="00CE271E">
        <w:rPr>
          <w:rFonts w:asciiTheme="majorBidi" w:hAnsiTheme="majorBidi" w:cstheme="majorBidi"/>
          <w:color w:val="000000"/>
        </w:rPr>
        <w:t xml:space="preserve">         </w:t>
      </w:r>
    </w:p>
    <w:p w:rsidR="00051CF9" w:rsidRPr="00CE271E" w:rsidRDefault="00051CF9" w:rsidP="00CE271E">
      <w:pPr>
        <w:spacing w:line="240" w:lineRule="auto"/>
        <w:jc w:val="right"/>
        <w:rPr>
          <w:rFonts w:asciiTheme="majorBidi" w:hAnsiTheme="majorBidi" w:cstheme="majorBidi"/>
          <w:lang w:bidi="ar-EG"/>
        </w:rPr>
      </w:pPr>
      <w:r w:rsidRPr="00CE271E">
        <w:rPr>
          <w:rFonts w:asciiTheme="majorBidi" w:hAnsiTheme="majorBidi" w:cstheme="majorBidi"/>
          <w:color w:val="000000"/>
        </w:rPr>
        <w:t xml:space="preserve"> This may have been due to the severity of glaucomatous damage as in our study the mean MD was -10.2 d B, while in</w:t>
      </w:r>
      <w:r w:rsidRPr="00CE271E">
        <w:rPr>
          <w:rFonts w:asciiTheme="majorBidi" w:hAnsiTheme="majorBidi" w:cstheme="majorBidi"/>
        </w:rPr>
        <w:t xml:space="preserve"> Kang EM ,et al</w:t>
      </w:r>
      <w:r w:rsidRPr="00CE271E">
        <w:rPr>
          <w:rFonts w:asciiTheme="majorBidi" w:hAnsiTheme="majorBidi" w:cstheme="majorBidi"/>
          <w:color w:val="000000"/>
        </w:rPr>
        <w:t xml:space="preserve"> study the mean MD was 7- d B.</w:t>
      </w:r>
    </w:p>
    <w:p w:rsidR="00FB0405" w:rsidRPr="00CE271E" w:rsidRDefault="00051CF9" w:rsidP="00CE271E">
      <w:pPr>
        <w:spacing w:line="240" w:lineRule="auto"/>
        <w:jc w:val="right"/>
        <w:rPr>
          <w:rFonts w:asciiTheme="majorBidi" w:hAnsiTheme="majorBidi" w:cstheme="majorBidi"/>
          <w:color w:val="000000"/>
          <w:rtl/>
          <w:lang w:bidi="ar-EG"/>
        </w:rPr>
      </w:pPr>
      <w:r w:rsidRPr="00CE271E">
        <w:rPr>
          <w:rFonts w:asciiTheme="majorBidi" w:hAnsiTheme="majorBidi" w:cstheme="majorBidi"/>
          <w:color w:val="000000"/>
        </w:rPr>
        <w:t xml:space="preserve"> In our study, </w:t>
      </w:r>
      <w:proofErr w:type="gramStart"/>
      <w:r w:rsidRPr="00CE271E">
        <w:rPr>
          <w:rFonts w:asciiTheme="majorBidi" w:hAnsiTheme="majorBidi" w:cstheme="majorBidi"/>
          <w:color w:val="000000"/>
        </w:rPr>
        <w:t>The</w:t>
      </w:r>
      <w:proofErr w:type="gramEnd"/>
      <w:r w:rsidRPr="00CE271E">
        <w:rPr>
          <w:rFonts w:asciiTheme="majorBidi" w:hAnsiTheme="majorBidi" w:cstheme="majorBidi"/>
          <w:color w:val="000000"/>
        </w:rPr>
        <w:t xml:space="preserve"> largest </w:t>
      </w:r>
      <w:r w:rsidRPr="00CE271E">
        <w:rPr>
          <w:rFonts w:asciiTheme="majorBidi" w:hAnsiTheme="majorBidi" w:cstheme="majorBidi"/>
          <w:i/>
          <w:iCs/>
          <w:color w:val="000000"/>
        </w:rPr>
        <w:t xml:space="preserve">r </w:t>
      </w:r>
      <w:r w:rsidRPr="00CE271E">
        <w:rPr>
          <w:rFonts w:asciiTheme="majorBidi" w:hAnsiTheme="majorBidi" w:cstheme="majorBidi"/>
          <w:color w:val="000000"/>
        </w:rPr>
        <w:t>value were between MD and the average RNFL thickness (0.715). Among the quadrants, the inferior p RNFL showed the largest</w:t>
      </w:r>
      <w:r w:rsidRPr="00CE271E">
        <w:rPr>
          <w:rFonts w:asciiTheme="majorBidi" w:hAnsiTheme="majorBidi" w:cstheme="majorBidi"/>
          <w:i/>
          <w:iCs/>
          <w:color w:val="000000"/>
        </w:rPr>
        <w:t xml:space="preserve"> r </w:t>
      </w:r>
      <w:r w:rsidRPr="00CE271E">
        <w:rPr>
          <w:rFonts w:asciiTheme="majorBidi" w:hAnsiTheme="majorBidi" w:cstheme="majorBidi"/>
          <w:color w:val="000000"/>
        </w:rPr>
        <w:t xml:space="preserve">value (0.685) followed by superior p </w:t>
      </w:r>
      <w:proofErr w:type="gramStart"/>
      <w:r w:rsidRPr="00CE271E">
        <w:rPr>
          <w:rFonts w:asciiTheme="majorBidi" w:hAnsiTheme="majorBidi" w:cstheme="majorBidi"/>
          <w:color w:val="000000"/>
        </w:rPr>
        <w:t>RNFL</w:t>
      </w:r>
      <w:r w:rsidR="00FB0405" w:rsidRPr="00CE271E">
        <w:rPr>
          <w:rFonts w:asciiTheme="majorBidi" w:hAnsiTheme="majorBidi" w:cstheme="majorBidi"/>
          <w:color w:val="000000"/>
        </w:rPr>
        <w:t>(</w:t>
      </w:r>
      <w:proofErr w:type="gramEnd"/>
      <w:r w:rsidR="00FB0405" w:rsidRPr="00CE271E">
        <w:rPr>
          <w:rFonts w:asciiTheme="majorBidi" w:hAnsiTheme="majorBidi" w:cstheme="majorBidi"/>
          <w:color w:val="000000"/>
        </w:rPr>
        <w:t>0.681).</w:t>
      </w:r>
      <w:r w:rsidRPr="00CE271E">
        <w:rPr>
          <w:rFonts w:asciiTheme="majorBidi" w:hAnsiTheme="majorBidi" w:cstheme="majorBidi"/>
          <w:color w:val="000000"/>
        </w:rPr>
        <w:t xml:space="preserve"> </w:t>
      </w:r>
    </w:p>
    <w:p w:rsidR="00051CF9" w:rsidRPr="00CE271E" w:rsidRDefault="00051CF9" w:rsidP="00CE271E">
      <w:pPr>
        <w:spacing w:line="240" w:lineRule="auto"/>
        <w:jc w:val="right"/>
        <w:rPr>
          <w:rFonts w:asciiTheme="majorBidi" w:hAnsiTheme="majorBidi" w:cstheme="majorBidi"/>
          <w:color w:val="000000"/>
          <w:lang w:bidi="ar-EG"/>
        </w:rPr>
      </w:pPr>
      <w:r w:rsidRPr="00CE271E">
        <w:rPr>
          <w:rFonts w:asciiTheme="majorBidi" w:hAnsiTheme="majorBidi" w:cstheme="majorBidi"/>
          <w:color w:val="000000"/>
        </w:rPr>
        <w:t xml:space="preserve"> That is agreed with </w:t>
      </w:r>
      <w:r w:rsidRPr="00CE271E">
        <w:rPr>
          <w:rFonts w:asciiTheme="majorBidi" w:hAnsiTheme="majorBidi" w:cstheme="majorBidi"/>
        </w:rPr>
        <w:t xml:space="preserve">Kang </w:t>
      </w:r>
      <w:proofErr w:type="gramStart"/>
      <w:r w:rsidRPr="00CE271E">
        <w:rPr>
          <w:rFonts w:asciiTheme="majorBidi" w:hAnsiTheme="majorBidi" w:cstheme="majorBidi"/>
        </w:rPr>
        <w:t>EM ,et</w:t>
      </w:r>
      <w:proofErr w:type="gramEnd"/>
      <w:r w:rsidRPr="00CE271E">
        <w:rPr>
          <w:rFonts w:asciiTheme="majorBidi" w:hAnsiTheme="majorBidi" w:cstheme="majorBidi"/>
        </w:rPr>
        <w:t xml:space="preserve"> al</w:t>
      </w:r>
      <w:r w:rsidRPr="00CE271E">
        <w:rPr>
          <w:rFonts w:asciiTheme="majorBidi" w:hAnsiTheme="majorBidi" w:cstheme="majorBidi"/>
          <w:color w:val="000000"/>
        </w:rPr>
        <w:t xml:space="preserve"> study in which the largest </w:t>
      </w:r>
      <w:r w:rsidRPr="00CE271E">
        <w:rPr>
          <w:rFonts w:asciiTheme="majorBidi" w:hAnsiTheme="majorBidi" w:cstheme="majorBidi"/>
          <w:i/>
          <w:iCs/>
          <w:color w:val="000000"/>
        </w:rPr>
        <w:t xml:space="preserve">r </w:t>
      </w:r>
      <w:r w:rsidRPr="00CE271E">
        <w:rPr>
          <w:rFonts w:asciiTheme="majorBidi" w:hAnsiTheme="majorBidi" w:cstheme="majorBidi"/>
          <w:color w:val="000000"/>
        </w:rPr>
        <w:t xml:space="preserve">value  were between MD and  the average RNFL thickness (0.562) and Among the quadrants, the inferior RNFL thickness showed the largest </w:t>
      </w:r>
      <w:r w:rsidRPr="00CE271E">
        <w:rPr>
          <w:rFonts w:asciiTheme="majorBidi" w:hAnsiTheme="majorBidi" w:cstheme="majorBidi"/>
          <w:i/>
          <w:iCs/>
          <w:color w:val="000000"/>
        </w:rPr>
        <w:t xml:space="preserve">r </w:t>
      </w:r>
      <w:r w:rsidRPr="00CE271E">
        <w:rPr>
          <w:rFonts w:asciiTheme="majorBidi" w:hAnsiTheme="majorBidi" w:cstheme="majorBidi"/>
          <w:color w:val="000000"/>
        </w:rPr>
        <w:t xml:space="preserve">value (0.587). </w:t>
      </w:r>
      <w:r w:rsidRPr="00CE271E">
        <w:rPr>
          <w:rFonts w:asciiTheme="majorBidi" w:hAnsiTheme="majorBidi" w:cstheme="majorBidi"/>
          <w:b/>
          <w:bCs/>
          <w:vertAlign w:val="superscript"/>
        </w:rPr>
        <w:t xml:space="preserve"> </w:t>
      </w:r>
      <w:r w:rsidR="002518C1" w:rsidRPr="00CE271E">
        <w:rPr>
          <w:rFonts w:asciiTheme="majorBidi" w:hAnsiTheme="majorBidi" w:cstheme="majorBidi"/>
          <w:b/>
          <w:bCs/>
          <w:vertAlign w:val="superscript"/>
        </w:rPr>
        <w:t xml:space="preserve">5 </w:t>
      </w:r>
      <w:r w:rsidRPr="00CE271E">
        <w:rPr>
          <w:rFonts w:asciiTheme="majorBidi" w:hAnsiTheme="majorBidi" w:cstheme="majorBidi"/>
        </w:rPr>
        <w:t>And also this is in agreement with Carolina P.B., et al study. Other previous studies demonstrating that the superior and inferior areas of the optic nerve are most commonly affected in glaucoma</w:t>
      </w:r>
      <w:r w:rsidRPr="00CE271E">
        <w:rPr>
          <w:rFonts w:asciiTheme="majorBidi" w:hAnsiTheme="majorBidi" w:cstheme="majorBidi"/>
          <w:b/>
          <w:bCs/>
        </w:rPr>
        <w:t xml:space="preserve">. </w:t>
      </w:r>
      <w:r w:rsidR="002518C1" w:rsidRPr="00CE271E">
        <w:rPr>
          <w:rFonts w:asciiTheme="majorBidi" w:hAnsiTheme="majorBidi" w:cstheme="majorBidi"/>
          <w:b/>
          <w:bCs/>
          <w:vertAlign w:val="superscript"/>
        </w:rPr>
        <w:t xml:space="preserve">6,7 </w:t>
      </w:r>
      <w:r w:rsidRPr="00CE271E">
        <w:rPr>
          <w:rFonts w:asciiTheme="majorBidi" w:hAnsiTheme="majorBidi" w:cstheme="majorBidi"/>
        </w:rPr>
        <w:t xml:space="preserve">But it should be noted that, while </w:t>
      </w:r>
      <w:proofErr w:type="spellStart"/>
      <w:r w:rsidRPr="00CE271E">
        <w:rPr>
          <w:rFonts w:asciiTheme="majorBidi" w:hAnsiTheme="majorBidi" w:cstheme="majorBidi"/>
        </w:rPr>
        <w:t>sectorial</w:t>
      </w:r>
      <w:proofErr w:type="spellEnd"/>
      <w:r w:rsidRPr="00CE271E">
        <w:rPr>
          <w:rFonts w:asciiTheme="majorBidi" w:hAnsiTheme="majorBidi" w:cstheme="majorBidi"/>
        </w:rPr>
        <w:t xml:space="preserve"> RNFL parameters may increase the chance of detecting localized RNFL damage in glaucoma, these parameters frequently suffer from low reproducibility, as measurements are averaged over only relatively small areas</w:t>
      </w:r>
      <w:r w:rsidR="002518C1" w:rsidRPr="00CE271E">
        <w:rPr>
          <w:rFonts w:asciiTheme="majorBidi" w:hAnsiTheme="majorBidi" w:cstheme="majorBidi"/>
          <w:b/>
          <w:bCs/>
          <w:vertAlign w:val="superscript"/>
        </w:rPr>
        <w:t xml:space="preserve"> </w:t>
      </w:r>
      <w:r w:rsidR="005F14B5" w:rsidRPr="00CE271E">
        <w:rPr>
          <w:rFonts w:asciiTheme="majorBidi" w:hAnsiTheme="majorBidi" w:cstheme="majorBidi"/>
          <w:color w:val="000000"/>
          <w:vertAlign w:val="superscript"/>
          <w:lang w:bidi="ar-EG"/>
        </w:rPr>
        <w:t>8,9</w:t>
      </w:r>
    </w:p>
    <w:p w:rsidR="00051CF9" w:rsidRPr="00CE271E" w:rsidRDefault="00051CF9" w:rsidP="00CE271E">
      <w:pPr>
        <w:spacing w:line="240" w:lineRule="auto"/>
        <w:rPr>
          <w:rFonts w:asciiTheme="majorBidi" w:hAnsiTheme="majorBidi" w:cstheme="majorBidi"/>
          <w:color w:val="000000"/>
          <w:rtl/>
          <w:lang w:bidi="ar-EG"/>
        </w:rPr>
      </w:pPr>
      <w:r w:rsidRPr="00CE271E">
        <w:rPr>
          <w:rFonts w:asciiTheme="majorBidi" w:hAnsiTheme="majorBidi" w:cstheme="majorBidi"/>
          <w:b/>
          <w:bCs/>
        </w:rPr>
        <w:t xml:space="preserve">     </w:t>
      </w:r>
      <w:r w:rsidRPr="00CE271E">
        <w:rPr>
          <w:rFonts w:asciiTheme="majorBidi" w:hAnsiTheme="majorBidi" w:cstheme="majorBidi"/>
        </w:rPr>
        <w:t>On the other hand, the global average RNFL thickness has generally been shown to be the most reproducible parameter, which is not surprising considering that its calculation involves averaging measurements over a relatively large area. The improved reproducibility offers large gains in the ability to detect progression over time.</w:t>
      </w:r>
      <w:r w:rsidR="005F14B5" w:rsidRPr="00CE271E">
        <w:rPr>
          <w:rFonts w:asciiTheme="majorBidi" w:hAnsiTheme="majorBidi" w:cstheme="majorBidi"/>
          <w:b/>
          <w:bCs/>
          <w:vertAlign w:val="superscript"/>
        </w:rPr>
        <w:t>8</w:t>
      </w:r>
      <w:r w:rsidRPr="00CE271E">
        <w:rPr>
          <w:rFonts w:asciiTheme="majorBidi" w:hAnsiTheme="majorBidi" w:cstheme="majorBidi"/>
          <w:b/>
          <w:bCs/>
          <w:vertAlign w:val="superscript"/>
        </w:rPr>
        <w:t xml:space="preserve">  </w:t>
      </w:r>
      <w:r w:rsidR="005F14B5" w:rsidRPr="00CE271E">
        <w:rPr>
          <w:rFonts w:asciiTheme="majorBidi" w:hAnsiTheme="majorBidi" w:cstheme="majorBidi"/>
          <w:b/>
          <w:bCs/>
          <w:vertAlign w:val="superscript"/>
        </w:rPr>
        <w:t xml:space="preserve">                                                                                                                                                            </w:t>
      </w:r>
      <w:r w:rsidRPr="00CE271E">
        <w:rPr>
          <w:rFonts w:asciiTheme="majorBidi" w:hAnsiTheme="majorBidi" w:cstheme="majorBidi"/>
          <w:b/>
          <w:bCs/>
          <w:vertAlign w:val="superscript"/>
        </w:rPr>
        <w:t xml:space="preserve">              </w:t>
      </w:r>
    </w:p>
    <w:p w:rsidR="00FB0405" w:rsidRPr="00CE271E" w:rsidRDefault="00051CF9"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 xml:space="preserve">     Several studies have shown that macular parameters are able to distinguish glaucomatous eyes from those of healthy subjects.  </w:t>
      </w:r>
      <w:r w:rsidR="005F14B5" w:rsidRPr="00CE271E">
        <w:rPr>
          <w:rFonts w:asciiTheme="majorBidi" w:hAnsiTheme="majorBidi" w:cstheme="majorBidi"/>
          <w:b/>
          <w:bCs/>
          <w:vertAlign w:val="superscript"/>
        </w:rPr>
        <w:t>10</w:t>
      </w:r>
      <w:proofErr w:type="gramStart"/>
      <w:r w:rsidR="005F14B5" w:rsidRPr="00CE271E">
        <w:rPr>
          <w:rFonts w:asciiTheme="majorBidi" w:hAnsiTheme="majorBidi" w:cstheme="majorBidi"/>
          <w:b/>
          <w:bCs/>
          <w:vertAlign w:val="superscript"/>
        </w:rPr>
        <w:t>,11</w:t>
      </w:r>
      <w:proofErr w:type="gramEnd"/>
    </w:p>
    <w:p w:rsidR="00564727" w:rsidRPr="00CE271E" w:rsidRDefault="00051CF9"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 xml:space="preserve">In our study, moderate correlation between MD and thickness of ganglion cell layer /inner </w:t>
      </w:r>
      <w:proofErr w:type="spellStart"/>
      <w:proofErr w:type="gramStart"/>
      <w:r w:rsidRPr="00CE271E">
        <w:rPr>
          <w:rFonts w:asciiTheme="majorBidi" w:hAnsiTheme="majorBidi" w:cstheme="majorBidi"/>
        </w:rPr>
        <w:t>plexiform</w:t>
      </w:r>
      <w:proofErr w:type="spellEnd"/>
      <w:r w:rsidRPr="00CE271E">
        <w:rPr>
          <w:rFonts w:asciiTheme="majorBidi" w:hAnsiTheme="majorBidi" w:cstheme="majorBidi"/>
        </w:rPr>
        <w:t xml:space="preserve"> ,</w:t>
      </w:r>
      <w:proofErr w:type="gramEnd"/>
      <w:r w:rsidRPr="00CE271E">
        <w:rPr>
          <w:rFonts w:asciiTheme="majorBidi" w:hAnsiTheme="majorBidi" w:cstheme="majorBidi"/>
        </w:rPr>
        <w:t xml:space="preserve"> m RNFL and</w:t>
      </w:r>
      <w:r w:rsidR="00FB0405" w:rsidRPr="00CE271E">
        <w:rPr>
          <w:rFonts w:asciiTheme="majorBidi" w:hAnsiTheme="majorBidi" w:cstheme="majorBidi"/>
        </w:rPr>
        <w:t xml:space="preserve">  GCC.</w:t>
      </w:r>
      <w:r w:rsidRPr="00CE271E">
        <w:rPr>
          <w:rFonts w:asciiTheme="majorBidi" w:hAnsiTheme="majorBidi" w:cstheme="majorBidi"/>
        </w:rPr>
        <w:t xml:space="preserve">   This agrees with previous studies by Hood et al. </w:t>
      </w:r>
      <w:r w:rsidR="005F14B5" w:rsidRPr="00CE271E">
        <w:rPr>
          <w:rFonts w:asciiTheme="majorBidi" w:hAnsiTheme="majorBidi" w:cstheme="majorBidi"/>
          <w:b/>
          <w:bCs/>
          <w:vertAlign w:val="superscript"/>
        </w:rPr>
        <w:t>12</w:t>
      </w:r>
    </w:p>
    <w:p w:rsidR="00FB0405" w:rsidRPr="00CE271E" w:rsidRDefault="00FB0405"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 xml:space="preserve">Using regression analysis, the study found that </w:t>
      </w:r>
      <w:r w:rsidRPr="00CE271E">
        <w:rPr>
          <w:rFonts w:asciiTheme="majorBidi" w:hAnsiTheme="majorBidi" w:cstheme="majorBidi"/>
          <w:lang w:bidi="ar-EG"/>
        </w:rPr>
        <w:t>Inferior p RNFL is the most predictable factor for glaucoma (0.966 &amp;</w:t>
      </w:r>
      <w:r w:rsidRPr="00CE271E">
        <w:rPr>
          <w:rFonts w:asciiTheme="majorBidi" w:hAnsiTheme="majorBidi" w:cstheme="majorBidi"/>
          <w:color w:val="000000"/>
        </w:rPr>
        <w:t>p &lt;0.001</w:t>
      </w:r>
      <w:r w:rsidRPr="00CE271E">
        <w:rPr>
          <w:rFonts w:asciiTheme="majorBidi" w:hAnsiTheme="majorBidi" w:cstheme="majorBidi"/>
          <w:lang w:bidi="ar-EG"/>
        </w:rPr>
        <w:t xml:space="preserve">) with comparable values with inferior ganglion cell complex </w:t>
      </w:r>
      <w:r w:rsidRPr="00CE271E">
        <w:rPr>
          <w:rFonts w:asciiTheme="majorBidi" w:hAnsiTheme="majorBidi" w:cstheme="majorBidi"/>
        </w:rPr>
        <w:t>(0.920&amp;</w:t>
      </w:r>
      <w:r w:rsidRPr="00CE271E">
        <w:rPr>
          <w:rFonts w:asciiTheme="majorBidi" w:hAnsiTheme="majorBidi" w:cstheme="majorBidi"/>
          <w:color w:val="000000"/>
        </w:rPr>
        <w:t xml:space="preserve"> p &lt;0.001</w:t>
      </w:r>
      <w:r w:rsidRPr="00CE271E">
        <w:rPr>
          <w:rFonts w:asciiTheme="majorBidi" w:hAnsiTheme="majorBidi" w:cstheme="majorBidi"/>
        </w:rPr>
        <w:t>).</w:t>
      </w:r>
    </w:p>
    <w:p w:rsidR="00564727" w:rsidRPr="00CE271E" w:rsidRDefault="00FB0405"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 xml:space="preserve">That support that p RNFL is slightly more reproducible than macular parameters but results are comparable with agreement with </w:t>
      </w:r>
      <w:proofErr w:type="spellStart"/>
      <w:proofErr w:type="gramStart"/>
      <w:r w:rsidRPr="00CE271E">
        <w:rPr>
          <w:rFonts w:asciiTheme="majorBidi" w:hAnsiTheme="majorBidi" w:cstheme="majorBidi"/>
        </w:rPr>
        <w:t>Libosa</w:t>
      </w:r>
      <w:proofErr w:type="spellEnd"/>
      <w:r w:rsidRPr="00CE271E">
        <w:rPr>
          <w:rFonts w:asciiTheme="majorBidi" w:hAnsiTheme="majorBidi" w:cstheme="majorBidi"/>
        </w:rPr>
        <w:t xml:space="preserve"> ,</w:t>
      </w:r>
      <w:proofErr w:type="gramEnd"/>
      <w:r w:rsidRPr="00CE271E">
        <w:rPr>
          <w:rFonts w:asciiTheme="majorBidi" w:hAnsiTheme="majorBidi" w:cstheme="majorBidi"/>
        </w:rPr>
        <w:t xml:space="preserve"> et al study.</w:t>
      </w:r>
      <w:r w:rsidR="005F14B5" w:rsidRPr="00CE271E">
        <w:rPr>
          <w:rFonts w:asciiTheme="majorBidi" w:hAnsiTheme="majorBidi" w:cstheme="majorBidi"/>
          <w:b/>
          <w:bCs/>
          <w:vertAlign w:val="superscript"/>
        </w:rPr>
        <w:t>13</w:t>
      </w:r>
      <w:r w:rsidRPr="00CE271E">
        <w:rPr>
          <w:rFonts w:asciiTheme="majorBidi" w:hAnsiTheme="majorBidi" w:cstheme="majorBidi"/>
        </w:rPr>
        <w:t xml:space="preserve">     Kim </w:t>
      </w:r>
      <w:r w:rsidRPr="00CE271E">
        <w:rPr>
          <w:rFonts w:asciiTheme="majorBidi" w:hAnsiTheme="majorBidi" w:cstheme="majorBidi"/>
          <w:i/>
          <w:iCs/>
        </w:rPr>
        <w:t>et al</w:t>
      </w:r>
      <w:r w:rsidRPr="00CE271E">
        <w:rPr>
          <w:rFonts w:asciiTheme="majorBidi" w:hAnsiTheme="majorBidi" w:cstheme="majorBidi"/>
        </w:rPr>
        <w:t xml:space="preserve">. study </w:t>
      </w:r>
      <w:r w:rsidR="005F14B5" w:rsidRPr="00CE271E">
        <w:rPr>
          <w:rFonts w:asciiTheme="majorBidi" w:hAnsiTheme="majorBidi" w:cstheme="majorBidi"/>
          <w:b/>
          <w:bCs/>
          <w:vertAlign w:val="superscript"/>
        </w:rPr>
        <w:t>10</w:t>
      </w:r>
      <w:r w:rsidRPr="00CE271E">
        <w:rPr>
          <w:rFonts w:asciiTheme="majorBidi" w:hAnsiTheme="majorBidi" w:cstheme="majorBidi"/>
        </w:rPr>
        <w:t xml:space="preserve"> found that RNFL and GCC thickness had a similar diagnostic performance in detecting early, moderate and advanced glaucoma.</w:t>
      </w:r>
    </w:p>
    <w:p w:rsidR="00FB0405" w:rsidRPr="00CE271E" w:rsidRDefault="00FB0405"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 xml:space="preserve">Our study found high correlation between inferior p RNFL with inferior </w:t>
      </w:r>
      <w:proofErr w:type="gramStart"/>
      <w:r w:rsidRPr="00CE271E">
        <w:rPr>
          <w:rFonts w:asciiTheme="majorBidi" w:hAnsiTheme="majorBidi" w:cstheme="majorBidi"/>
        </w:rPr>
        <w:t>GCC ,</w:t>
      </w:r>
      <w:proofErr w:type="gramEnd"/>
      <w:r w:rsidRPr="00CE271E">
        <w:rPr>
          <w:rFonts w:asciiTheme="majorBidi" w:hAnsiTheme="majorBidi" w:cstheme="majorBidi"/>
        </w:rPr>
        <w:t xml:space="preserve"> total GCC and total GCL/IPL (0.559, 0.551, 0.541) with </w:t>
      </w:r>
      <w:r w:rsidRPr="00CE271E">
        <w:rPr>
          <w:rFonts w:asciiTheme="majorBidi" w:hAnsiTheme="majorBidi" w:cstheme="majorBidi"/>
          <w:color w:val="000000"/>
        </w:rPr>
        <w:t>p &lt;0.001</w:t>
      </w:r>
      <w:r w:rsidRPr="00CE271E">
        <w:rPr>
          <w:rFonts w:asciiTheme="majorBidi" w:hAnsiTheme="majorBidi" w:cstheme="majorBidi"/>
          <w:lang w:bidi="ar-EG"/>
        </w:rPr>
        <w:t xml:space="preserve"> ,this agree with </w:t>
      </w:r>
      <w:proofErr w:type="spellStart"/>
      <w:r w:rsidRPr="00CE271E">
        <w:rPr>
          <w:rFonts w:asciiTheme="majorBidi" w:hAnsiTheme="majorBidi" w:cstheme="majorBidi"/>
          <w:lang w:bidi="ar-EG"/>
        </w:rPr>
        <w:t>Gadi</w:t>
      </w:r>
      <w:proofErr w:type="spellEnd"/>
      <w:r w:rsidRPr="00CE271E">
        <w:rPr>
          <w:rFonts w:asciiTheme="majorBidi" w:hAnsiTheme="majorBidi" w:cstheme="majorBidi"/>
          <w:lang w:bidi="ar-EG"/>
        </w:rPr>
        <w:t xml:space="preserve"> </w:t>
      </w:r>
      <w:proofErr w:type="spellStart"/>
      <w:r w:rsidRPr="00CE271E">
        <w:rPr>
          <w:rFonts w:asciiTheme="majorBidi" w:hAnsiTheme="majorBidi" w:cstheme="majorBidi"/>
          <w:lang w:bidi="ar-EG"/>
        </w:rPr>
        <w:t>Wollstein</w:t>
      </w:r>
      <w:proofErr w:type="spellEnd"/>
      <w:r w:rsidRPr="00CE271E">
        <w:rPr>
          <w:rFonts w:asciiTheme="majorBidi" w:hAnsiTheme="majorBidi" w:cstheme="majorBidi"/>
          <w:lang w:bidi="ar-EG"/>
        </w:rPr>
        <w:t xml:space="preserve"> et al. study which found that </w:t>
      </w:r>
      <w:r w:rsidRPr="00CE271E">
        <w:rPr>
          <w:rFonts w:asciiTheme="majorBidi" w:hAnsiTheme="majorBidi" w:cstheme="majorBidi"/>
        </w:rPr>
        <w:t>macular retinal thickness, as measured by OCT, was capable of detecting glaucomatous damage and corresponded with p RNFL thickness; however, p RNFL thickness had higher sensitivity and specificity for the detection of VF abnormalities.</w:t>
      </w:r>
      <w:r w:rsidRPr="00CE271E">
        <w:rPr>
          <w:rFonts w:asciiTheme="majorBidi" w:hAnsiTheme="majorBidi" w:cstheme="majorBidi"/>
          <w:b/>
          <w:bCs/>
        </w:rPr>
        <w:t xml:space="preserve"> </w:t>
      </w:r>
      <w:r w:rsidRPr="00CE271E">
        <w:rPr>
          <w:rFonts w:asciiTheme="majorBidi" w:hAnsiTheme="majorBidi" w:cstheme="majorBidi"/>
          <w:b/>
          <w:bCs/>
          <w:vertAlign w:val="superscript"/>
        </w:rPr>
        <w:t xml:space="preserve"> 1</w:t>
      </w:r>
      <w:bookmarkStart w:id="0" w:name="_GoBack"/>
      <w:bookmarkEnd w:id="0"/>
      <w:r w:rsidR="005F14B5" w:rsidRPr="00CE271E">
        <w:rPr>
          <w:rFonts w:asciiTheme="majorBidi" w:hAnsiTheme="majorBidi" w:cstheme="majorBidi"/>
          <w:b/>
          <w:bCs/>
          <w:vertAlign w:val="superscript"/>
        </w:rPr>
        <w:t>4</w:t>
      </w:r>
    </w:p>
    <w:p w:rsidR="00564727" w:rsidRPr="00CE271E" w:rsidRDefault="00FB0405"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 xml:space="preserve">      Our study revealed that the total GCC thickness with largest AUC within the macular parameters, performed better than total p. RNFL with the largest AUC within the p. RNFL parameters and also both performed significantly better than ONH parameter with the largest AUC, C/D area ratio, for differentiating between the glaucomatous and healthy eyes. The total GCC parameter represents </w:t>
      </w:r>
      <w:proofErr w:type="spellStart"/>
      <w:r w:rsidRPr="00CE271E">
        <w:rPr>
          <w:rFonts w:asciiTheme="majorBidi" w:hAnsiTheme="majorBidi" w:cstheme="majorBidi"/>
        </w:rPr>
        <w:t>m.RNFL</w:t>
      </w:r>
      <w:proofErr w:type="spellEnd"/>
      <w:r w:rsidRPr="00CE271E">
        <w:rPr>
          <w:rFonts w:asciiTheme="majorBidi" w:hAnsiTheme="majorBidi" w:cstheme="majorBidi"/>
        </w:rPr>
        <w:t xml:space="preserve"> + GC/IPL parameters.</w:t>
      </w:r>
      <w:r w:rsidR="00564727" w:rsidRPr="00CE271E">
        <w:rPr>
          <w:rFonts w:asciiTheme="majorBidi" w:hAnsiTheme="majorBidi" w:cstheme="majorBidi"/>
        </w:rPr>
        <w:t xml:space="preserve"> </w:t>
      </w:r>
      <w:r w:rsidRPr="00CE271E">
        <w:rPr>
          <w:rFonts w:asciiTheme="majorBidi" w:hAnsiTheme="majorBidi" w:cstheme="majorBidi"/>
        </w:rPr>
        <w:t xml:space="preserve">In agreement with our </w:t>
      </w:r>
      <w:r w:rsidRPr="00CE271E">
        <w:rPr>
          <w:rFonts w:asciiTheme="majorBidi" w:hAnsiTheme="majorBidi" w:cstheme="majorBidi"/>
        </w:rPr>
        <w:lastRenderedPageBreak/>
        <w:t xml:space="preserve">results; </w:t>
      </w:r>
      <w:proofErr w:type="spellStart"/>
      <w:r w:rsidRPr="00CE271E">
        <w:rPr>
          <w:rFonts w:asciiTheme="majorBidi" w:hAnsiTheme="majorBidi" w:cstheme="majorBidi"/>
        </w:rPr>
        <w:t>Lisboa</w:t>
      </w:r>
      <w:proofErr w:type="spellEnd"/>
      <w:r w:rsidRPr="00CE271E">
        <w:rPr>
          <w:rFonts w:asciiTheme="majorBidi" w:hAnsiTheme="majorBidi" w:cstheme="majorBidi"/>
        </w:rPr>
        <w:t xml:space="preserve"> et al</w:t>
      </w:r>
      <w:r w:rsidRPr="00CE271E">
        <w:rPr>
          <w:rFonts w:asciiTheme="majorBidi" w:hAnsiTheme="majorBidi" w:cstheme="majorBidi"/>
          <w:b/>
          <w:bCs/>
        </w:rPr>
        <w:t>.,</w:t>
      </w:r>
      <w:r w:rsidRPr="00CE271E">
        <w:rPr>
          <w:rFonts w:asciiTheme="majorBidi" w:hAnsiTheme="majorBidi" w:cstheme="majorBidi"/>
          <w:b/>
          <w:bCs/>
          <w:vertAlign w:val="superscript"/>
        </w:rPr>
        <w:t xml:space="preserve"> 1</w:t>
      </w:r>
      <w:r w:rsidR="005F14B5" w:rsidRPr="00CE271E">
        <w:rPr>
          <w:rFonts w:asciiTheme="majorBidi" w:hAnsiTheme="majorBidi" w:cstheme="majorBidi"/>
          <w:b/>
          <w:bCs/>
          <w:vertAlign w:val="superscript"/>
        </w:rPr>
        <w:t>3</w:t>
      </w:r>
      <w:r w:rsidRPr="00CE271E">
        <w:rPr>
          <w:rFonts w:asciiTheme="majorBidi" w:hAnsiTheme="majorBidi" w:cstheme="majorBidi"/>
        </w:rPr>
        <w:t xml:space="preserve"> using </w:t>
      </w:r>
      <w:proofErr w:type="spellStart"/>
      <w:r w:rsidRPr="00CE271E">
        <w:rPr>
          <w:rFonts w:asciiTheme="majorBidi" w:hAnsiTheme="majorBidi" w:cstheme="majorBidi"/>
        </w:rPr>
        <w:t>RTVue</w:t>
      </w:r>
      <w:proofErr w:type="spellEnd"/>
      <w:r w:rsidRPr="00CE271E">
        <w:rPr>
          <w:rFonts w:asciiTheme="majorBidi" w:hAnsiTheme="majorBidi" w:cstheme="majorBidi"/>
        </w:rPr>
        <w:t xml:space="preserve"> OCT, found that both total </w:t>
      </w:r>
      <w:proofErr w:type="spellStart"/>
      <w:r w:rsidRPr="00CE271E">
        <w:rPr>
          <w:rFonts w:asciiTheme="majorBidi" w:hAnsiTheme="majorBidi" w:cstheme="majorBidi"/>
        </w:rPr>
        <w:t>p.RNFL</w:t>
      </w:r>
      <w:proofErr w:type="spellEnd"/>
      <w:r w:rsidRPr="00CE271E">
        <w:rPr>
          <w:rFonts w:asciiTheme="majorBidi" w:hAnsiTheme="majorBidi" w:cstheme="majorBidi"/>
        </w:rPr>
        <w:t xml:space="preserve"> and GCC averages performed better than the ONH parameter with largest AUC</w:t>
      </w:r>
    </w:p>
    <w:p w:rsidR="00FB0405" w:rsidRPr="00CE271E" w:rsidRDefault="00FB0405"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 xml:space="preserve"> However in contrast with our results; their study found that the </w:t>
      </w:r>
      <w:proofErr w:type="spellStart"/>
      <w:r w:rsidRPr="00CE271E">
        <w:rPr>
          <w:rFonts w:asciiTheme="majorBidi" w:hAnsiTheme="majorBidi" w:cstheme="majorBidi"/>
        </w:rPr>
        <w:t>p.RNFL</w:t>
      </w:r>
      <w:proofErr w:type="spellEnd"/>
      <w:r w:rsidRPr="00CE271E">
        <w:rPr>
          <w:rFonts w:asciiTheme="majorBidi" w:hAnsiTheme="majorBidi" w:cstheme="majorBidi"/>
        </w:rPr>
        <w:t xml:space="preserve"> parameter with largest AUC, total </w:t>
      </w:r>
      <w:proofErr w:type="spellStart"/>
      <w:r w:rsidRPr="00CE271E">
        <w:rPr>
          <w:rFonts w:asciiTheme="majorBidi" w:hAnsiTheme="majorBidi" w:cstheme="majorBidi"/>
        </w:rPr>
        <w:t>p.RNFL</w:t>
      </w:r>
      <w:proofErr w:type="spellEnd"/>
      <w:r w:rsidRPr="00CE271E">
        <w:rPr>
          <w:rFonts w:asciiTheme="majorBidi" w:hAnsiTheme="majorBidi" w:cstheme="majorBidi"/>
        </w:rPr>
        <w:t xml:space="preserve"> thickness, performed significantly better than the macular parameter with largest AUC, GCC average thickness, for differentiating between the </w:t>
      </w:r>
      <w:proofErr w:type="spellStart"/>
      <w:r w:rsidRPr="00CE271E">
        <w:rPr>
          <w:rFonts w:asciiTheme="majorBidi" w:hAnsiTheme="majorBidi" w:cstheme="majorBidi"/>
        </w:rPr>
        <w:t>preperimetric</w:t>
      </w:r>
      <w:proofErr w:type="spellEnd"/>
      <w:r w:rsidRPr="00CE271E">
        <w:rPr>
          <w:rFonts w:asciiTheme="majorBidi" w:hAnsiTheme="majorBidi" w:cstheme="majorBidi"/>
        </w:rPr>
        <w:t xml:space="preserve"> glaucoma and control groups</w:t>
      </w:r>
      <w:r w:rsidR="00564727" w:rsidRPr="00CE271E">
        <w:rPr>
          <w:rFonts w:asciiTheme="majorBidi" w:hAnsiTheme="majorBidi" w:cstheme="majorBidi"/>
        </w:rPr>
        <w:t>.</w:t>
      </w:r>
    </w:p>
    <w:p w:rsidR="00564727" w:rsidRPr="00386ADD" w:rsidRDefault="00564727" w:rsidP="00CE271E">
      <w:pPr>
        <w:bidi w:val="0"/>
        <w:spacing w:line="240" w:lineRule="auto"/>
        <w:rPr>
          <w:rFonts w:asciiTheme="majorBidi" w:hAnsiTheme="majorBidi" w:cstheme="majorBidi"/>
          <w:b/>
          <w:bCs/>
          <w:u w:val="dotted"/>
          <w:lang w:bidi="ar-EG"/>
        </w:rPr>
      </w:pPr>
      <w:r w:rsidRPr="00386ADD">
        <w:rPr>
          <w:rFonts w:asciiTheme="majorBidi" w:hAnsiTheme="majorBidi" w:cstheme="majorBidi"/>
          <w:b/>
          <w:bCs/>
          <w:u w:val="dotted"/>
          <w:lang w:bidi="ar-EG"/>
        </w:rPr>
        <w:t>References</w:t>
      </w:r>
    </w:p>
    <w:p w:rsidR="00564727" w:rsidRPr="00CE271E" w:rsidRDefault="002518C1"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color w:val="000000"/>
        </w:rPr>
        <w:t>1</w:t>
      </w:r>
      <w:r w:rsidR="005D4DF2" w:rsidRPr="00CE271E">
        <w:rPr>
          <w:rFonts w:asciiTheme="majorBidi" w:hAnsiTheme="majorBidi" w:cstheme="majorBidi"/>
          <w:color w:val="000000"/>
        </w:rPr>
        <w:t>)</w:t>
      </w:r>
      <w:r w:rsidR="005D4DF2" w:rsidRPr="00CE271E">
        <w:rPr>
          <w:rFonts w:asciiTheme="majorBidi" w:hAnsiTheme="majorBidi" w:cstheme="majorBidi"/>
        </w:rPr>
        <w:t xml:space="preserve"> Huang D, Swanson EA, Lin CP, </w:t>
      </w:r>
      <w:proofErr w:type="gramStart"/>
      <w:r w:rsidR="005D4DF2" w:rsidRPr="00CE271E">
        <w:rPr>
          <w:rFonts w:asciiTheme="majorBidi" w:hAnsiTheme="majorBidi" w:cstheme="majorBidi"/>
        </w:rPr>
        <w:t>et</w:t>
      </w:r>
      <w:proofErr w:type="gramEnd"/>
      <w:r w:rsidR="005D4DF2" w:rsidRPr="00CE271E">
        <w:rPr>
          <w:rFonts w:asciiTheme="majorBidi" w:hAnsiTheme="majorBidi" w:cstheme="majorBidi"/>
        </w:rPr>
        <w:t xml:space="preserve"> </w:t>
      </w:r>
      <w:proofErr w:type="spellStart"/>
      <w:r w:rsidR="005D4DF2" w:rsidRPr="00CE271E">
        <w:rPr>
          <w:rFonts w:asciiTheme="majorBidi" w:hAnsiTheme="majorBidi" w:cstheme="majorBidi"/>
        </w:rPr>
        <w:t>al.Optical</w:t>
      </w:r>
      <w:proofErr w:type="spellEnd"/>
      <w:r w:rsidR="005D4DF2" w:rsidRPr="00CE271E">
        <w:rPr>
          <w:rFonts w:asciiTheme="majorBidi" w:hAnsiTheme="majorBidi" w:cstheme="majorBidi"/>
        </w:rPr>
        <w:t xml:space="preserve"> coherence tomography. Science 1991</w:t>
      </w:r>
      <w:proofErr w:type="gramStart"/>
      <w:r w:rsidR="005D4DF2" w:rsidRPr="00CE271E">
        <w:rPr>
          <w:rFonts w:asciiTheme="majorBidi" w:hAnsiTheme="majorBidi" w:cstheme="majorBidi"/>
        </w:rPr>
        <w:t>;254</w:t>
      </w:r>
      <w:proofErr w:type="gramEnd"/>
      <w:r w:rsidR="005D4DF2" w:rsidRPr="00CE271E">
        <w:rPr>
          <w:rFonts w:asciiTheme="majorBidi" w:hAnsiTheme="majorBidi" w:cstheme="majorBidi"/>
        </w:rPr>
        <w:t>: 1178–1181</w:t>
      </w:r>
    </w:p>
    <w:p w:rsidR="005D4DF2" w:rsidRPr="00CE271E" w:rsidRDefault="002518C1" w:rsidP="00CE271E">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2</w:t>
      </w:r>
      <w:r w:rsidR="005D4DF2" w:rsidRPr="00CE271E">
        <w:rPr>
          <w:rFonts w:asciiTheme="majorBidi" w:hAnsiTheme="majorBidi" w:cstheme="majorBidi"/>
        </w:rPr>
        <w:t xml:space="preserve">) Harrington D, Drake M. The visual fields: a textbook and atlas of clinical </w:t>
      </w:r>
      <w:proofErr w:type="spellStart"/>
      <w:r w:rsidR="005D4DF2" w:rsidRPr="00CE271E">
        <w:rPr>
          <w:rFonts w:asciiTheme="majorBidi" w:hAnsiTheme="majorBidi" w:cstheme="majorBidi"/>
        </w:rPr>
        <w:t>perimetry</w:t>
      </w:r>
      <w:proofErr w:type="spellEnd"/>
      <w:r w:rsidR="005D4DF2" w:rsidRPr="00CE271E">
        <w:rPr>
          <w:rFonts w:asciiTheme="majorBidi" w:hAnsiTheme="majorBidi" w:cstheme="majorBidi"/>
        </w:rPr>
        <w:t xml:space="preserve">, 6th </w:t>
      </w:r>
      <w:proofErr w:type="spellStart"/>
      <w:r w:rsidR="005D4DF2" w:rsidRPr="00CE271E">
        <w:rPr>
          <w:rFonts w:asciiTheme="majorBidi" w:hAnsiTheme="majorBidi" w:cstheme="majorBidi"/>
        </w:rPr>
        <w:t>edn</w:t>
      </w:r>
      <w:proofErr w:type="spellEnd"/>
      <w:r w:rsidR="005D4DF2" w:rsidRPr="00CE271E">
        <w:rPr>
          <w:rFonts w:asciiTheme="majorBidi" w:hAnsiTheme="majorBidi" w:cstheme="majorBidi"/>
        </w:rPr>
        <w:t>, St Louis, Mosby, 1990: 42-47</w:t>
      </w:r>
    </w:p>
    <w:p w:rsidR="00A167A2" w:rsidRDefault="002518C1" w:rsidP="00A167A2">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color w:val="252525"/>
          <w:shd w:val="clear" w:color="auto" w:fill="FFFFFF"/>
        </w:rPr>
        <w:t>3</w:t>
      </w:r>
      <w:r w:rsidR="005D4DF2" w:rsidRPr="00CE271E">
        <w:rPr>
          <w:rFonts w:asciiTheme="majorBidi" w:hAnsiTheme="majorBidi" w:cstheme="majorBidi"/>
          <w:color w:val="252525"/>
          <w:shd w:val="clear" w:color="auto" w:fill="FFFFFF"/>
        </w:rPr>
        <w:t xml:space="preserve">) Chen Y., </w:t>
      </w:r>
      <w:proofErr w:type="gramStart"/>
      <w:r w:rsidR="005D4DF2" w:rsidRPr="00CE271E">
        <w:rPr>
          <w:rFonts w:asciiTheme="majorBidi" w:hAnsiTheme="majorBidi" w:cstheme="majorBidi"/>
          <w:color w:val="252525"/>
          <w:shd w:val="clear" w:color="auto" w:fill="FFFFFF"/>
        </w:rPr>
        <w:t>Chen  J</w:t>
      </w:r>
      <w:proofErr w:type="gramEnd"/>
      <w:r w:rsidR="005D4DF2" w:rsidRPr="00CE271E">
        <w:rPr>
          <w:rFonts w:asciiTheme="majorBidi" w:hAnsiTheme="majorBidi" w:cstheme="majorBidi"/>
          <w:color w:val="252525"/>
          <w:shd w:val="clear" w:color="auto" w:fill="FFFFFF"/>
        </w:rPr>
        <w:t xml:space="preserve"> and  </w:t>
      </w:r>
      <w:proofErr w:type="spellStart"/>
      <w:r w:rsidR="005D4DF2" w:rsidRPr="00CE271E">
        <w:rPr>
          <w:rFonts w:asciiTheme="majorBidi" w:hAnsiTheme="majorBidi" w:cstheme="majorBidi"/>
          <w:color w:val="252525"/>
          <w:shd w:val="clear" w:color="auto" w:fill="FFFFFF"/>
        </w:rPr>
        <w:t>Da-Wen</w:t>
      </w:r>
      <w:proofErr w:type="spellEnd"/>
      <w:r w:rsidR="005D4DF2" w:rsidRPr="00CE271E">
        <w:rPr>
          <w:rFonts w:asciiTheme="majorBidi" w:hAnsiTheme="majorBidi" w:cstheme="majorBidi"/>
          <w:color w:val="252525"/>
          <w:shd w:val="clear" w:color="auto" w:fill="FFFFFF"/>
        </w:rPr>
        <w:t xml:space="preserve"> L.," Comparison of the Humphrey Field Analyzer and Humphrey Matrix Perimeter for the Evaluation of Glaucoma Patients " Ophthalmologic 222(</w:t>
      </w:r>
      <w:r w:rsidR="005D4DF2" w:rsidRPr="00CE271E">
        <w:rPr>
          <w:rFonts w:asciiTheme="majorBidi" w:hAnsiTheme="majorBidi" w:cstheme="majorBidi"/>
        </w:rPr>
        <w:t>6), 2008: 407-411</w:t>
      </w:r>
    </w:p>
    <w:p w:rsidR="00FB0405" w:rsidRPr="00A167A2" w:rsidRDefault="002518C1" w:rsidP="00A167A2">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color w:val="252525"/>
        </w:rPr>
        <w:t>4</w:t>
      </w:r>
      <w:r w:rsidR="005D4DF2" w:rsidRPr="00CE271E">
        <w:rPr>
          <w:rFonts w:asciiTheme="majorBidi" w:hAnsiTheme="majorBidi" w:cstheme="majorBidi"/>
          <w:color w:val="252525"/>
        </w:rPr>
        <w:t xml:space="preserve">) </w:t>
      </w:r>
      <w:proofErr w:type="spellStart"/>
      <w:r w:rsidR="005D4DF2" w:rsidRPr="00CE271E">
        <w:rPr>
          <w:rFonts w:asciiTheme="majorBidi" w:hAnsiTheme="majorBidi" w:cstheme="majorBidi"/>
          <w:color w:val="252525"/>
        </w:rPr>
        <w:t>Yaqub</w:t>
      </w:r>
      <w:proofErr w:type="spellEnd"/>
      <w:r w:rsidR="005D4DF2" w:rsidRPr="00CE271E">
        <w:rPr>
          <w:rFonts w:asciiTheme="majorBidi" w:hAnsiTheme="majorBidi" w:cstheme="majorBidi"/>
          <w:color w:val="252525"/>
        </w:rPr>
        <w:t xml:space="preserve"> M.: Visual fields interpretation in glaucoma: a focus on Static Automated </w:t>
      </w:r>
      <w:proofErr w:type="spellStart"/>
      <w:r w:rsidR="005D4DF2" w:rsidRPr="00CE271E">
        <w:rPr>
          <w:rFonts w:asciiTheme="majorBidi" w:hAnsiTheme="majorBidi" w:cstheme="majorBidi"/>
          <w:color w:val="252525"/>
        </w:rPr>
        <w:t>Perimetry</w:t>
      </w:r>
      <w:proofErr w:type="spellEnd"/>
      <w:r w:rsidR="005D4DF2" w:rsidRPr="00CE271E">
        <w:rPr>
          <w:rFonts w:asciiTheme="majorBidi" w:hAnsiTheme="majorBidi" w:cstheme="majorBidi"/>
          <w:color w:val="252525"/>
        </w:rPr>
        <w:t xml:space="preserve">. </w:t>
      </w:r>
      <w:proofErr w:type="gramStart"/>
      <w:r w:rsidR="005D4DF2" w:rsidRPr="00CE271E">
        <w:rPr>
          <w:rFonts w:asciiTheme="majorBidi" w:hAnsiTheme="majorBidi" w:cstheme="majorBidi"/>
          <w:color w:val="252525"/>
        </w:rPr>
        <w:t>Com Eye Health.</w:t>
      </w:r>
      <w:proofErr w:type="gramEnd"/>
      <w:r w:rsidR="005D4DF2" w:rsidRPr="00CE271E">
        <w:rPr>
          <w:rFonts w:asciiTheme="majorBidi" w:hAnsiTheme="majorBidi" w:cstheme="majorBidi"/>
          <w:color w:val="252525"/>
        </w:rPr>
        <w:t xml:space="preserve"> 2012</w:t>
      </w:r>
      <w:proofErr w:type="gramStart"/>
      <w:r w:rsidR="005D4DF2" w:rsidRPr="00CE271E">
        <w:rPr>
          <w:rFonts w:asciiTheme="majorBidi" w:hAnsiTheme="majorBidi" w:cstheme="majorBidi"/>
          <w:color w:val="252525"/>
        </w:rPr>
        <w:t>;25</w:t>
      </w:r>
      <w:proofErr w:type="gramEnd"/>
      <w:r w:rsidR="005D4DF2" w:rsidRPr="00CE271E">
        <w:rPr>
          <w:rFonts w:asciiTheme="majorBidi" w:hAnsiTheme="majorBidi" w:cstheme="majorBidi"/>
          <w:color w:val="252525"/>
        </w:rPr>
        <w:t xml:space="preserve"> (79-80): 1-8. E-Pub 2013 Jun 4.</w:t>
      </w:r>
    </w:p>
    <w:p w:rsidR="00051CF9" w:rsidRPr="00CE271E" w:rsidRDefault="002518C1" w:rsidP="00A167A2">
      <w:pPr>
        <w:autoSpaceDE w:val="0"/>
        <w:autoSpaceDN w:val="0"/>
        <w:bidi w:val="0"/>
        <w:adjustRightInd w:val="0"/>
        <w:spacing w:line="240" w:lineRule="auto"/>
        <w:rPr>
          <w:rFonts w:asciiTheme="majorBidi" w:hAnsiTheme="majorBidi" w:cstheme="majorBidi" w:hint="cs"/>
          <w:lang w:bidi="ar-EG"/>
        </w:rPr>
      </w:pPr>
      <w:r w:rsidRPr="00CE271E">
        <w:rPr>
          <w:rFonts w:asciiTheme="majorBidi" w:hAnsiTheme="majorBidi" w:cstheme="majorBidi"/>
        </w:rPr>
        <w:t>5</w:t>
      </w:r>
      <w:r w:rsidR="005D4DF2" w:rsidRPr="00CE271E">
        <w:rPr>
          <w:rFonts w:asciiTheme="majorBidi" w:hAnsiTheme="majorBidi" w:cstheme="majorBidi"/>
        </w:rPr>
        <w:t xml:space="preserve">) Kang E., Hong S., Kim C. et al.: Relationship between </w:t>
      </w:r>
      <w:proofErr w:type="spellStart"/>
      <w:r w:rsidR="005D4DF2" w:rsidRPr="00CE271E">
        <w:rPr>
          <w:rFonts w:asciiTheme="majorBidi" w:hAnsiTheme="majorBidi" w:cstheme="majorBidi"/>
        </w:rPr>
        <w:t>peripapillary</w:t>
      </w:r>
      <w:proofErr w:type="spellEnd"/>
      <w:r w:rsidR="005D4DF2" w:rsidRPr="00CE271E">
        <w:rPr>
          <w:rFonts w:asciiTheme="majorBidi" w:hAnsiTheme="majorBidi" w:cstheme="majorBidi"/>
        </w:rPr>
        <w:t xml:space="preserve"> retinal nerve fiber layer </w:t>
      </w:r>
      <w:proofErr w:type="gramStart"/>
      <w:r w:rsidR="005D4DF2" w:rsidRPr="00CE271E">
        <w:rPr>
          <w:rFonts w:asciiTheme="majorBidi" w:hAnsiTheme="majorBidi" w:cstheme="majorBidi"/>
        </w:rPr>
        <w:t>thickness</w:t>
      </w:r>
      <w:proofErr w:type="gramEnd"/>
      <w:r w:rsidR="005D4DF2" w:rsidRPr="00CE271E">
        <w:rPr>
          <w:rFonts w:asciiTheme="majorBidi" w:hAnsiTheme="majorBidi" w:cstheme="majorBidi"/>
        </w:rPr>
        <w:t xml:space="preserve"> measured by optical coherence tomography and visual field severity indices. </w:t>
      </w:r>
      <w:proofErr w:type="gramStart"/>
      <w:r w:rsidR="005D4DF2" w:rsidRPr="00CE271E">
        <w:rPr>
          <w:rFonts w:asciiTheme="majorBidi" w:hAnsiTheme="majorBidi" w:cstheme="majorBidi"/>
        </w:rPr>
        <w:t xml:space="preserve">Korean J </w:t>
      </w:r>
      <w:proofErr w:type="spellStart"/>
      <w:r w:rsidR="005D4DF2" w:rsidRPr="00CE271E">
        <w:rPr>
          <w:rFonts w:asciiTheme="majorBidi" w:hAnsiTheme="majorBidi" w:cstheme="majorBidi"/>
        </w:rPr>
        <w:t>Ophthalmol</w:t>
      </w:r>
      <w:proofErr w:type="spellEnd"/>
      <w:r w:rsidR="005D4DF2" w:rsidRPr="00CE271E">
        <w:rPr>
          <w:rFonts w:asciiTheme="majorBidi" w:hAnsiTheme="majorBidi" w:cstheme="majorBidi"/>
        </w:rPr>
        <w:t>.</w:t>
      </w:r>
      <w:proofErr w:type="gramEnd"/>
      <w:r w:rsidR="005D4DF2" w:rsidRPr="00CE271E">
        <w:rPr>
          <w:rFonts w:asciiTheme="majorBidi" w:hAnsiTheme="majorBidi" w:cstheme="majorBidi"/>
        </w:rPr>
        <w:t xml:space="preserve"> 2015</w:t>
      </w:r>
      <w:proofErr w:type="gramStart"/>
      <w:r w:rsidR="005D4DF2" w:rsidRPr="00CE271E">
        <w:rPr>
          <w:rFonts w:asciiTheme="majorBidi" w:hAnsiTheme="majorBidi" w:cstheme="majorBidi"/>
        </w:rPr>
        <w:t>;29</w:t>
      </w:r>
      <w:proofErr w:type="gramEnd"/>
      <w:r w:rsidR="005D4DF2" w:rsidRPr="00CE271E">
        <w:rPr>
          <w:rFonts w:asciiTheme="majorBidi" w:hAnsiTheme="majorBidi" w:cstheme="majorBidi"/>
        </w:rPr>
        <w:t>(4):263-269.</w:t>
      </w:r>
    </w:p>
    <w:p w:rsidR="002518C1" w:rsidRPr="00CE271E" w:rsidRDefault="005F14B5" w:rsidP="00A167A2">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6</w:t>
      </w:r>
      <w:r w:rsidR="002518C1" w:rsidRPr="00CE271E">
        <w:rPr>
          <w:rFonts w:asciiTheme="majorBidi" w:hAnsiTheme="majorBidi" w:cstheme="majorBidi"/>
        </w:rPr>
        <w:t xml:space="preserve">) Jonas J, Fernandez M and </w:t>
      </w:r>
      <w:proofErr w:type="spellStart"/>
      <w:r w:rsidR="002518C1" w:rsidRPr="00CE271E">
        <w:rPr>
          <w:rFonts w:asciiTheme="majorBidi" w:hAnsiTheme="majorBidi" w:cstheme="majorBidi"/>
        </w:rPr>
        <w:t>Sturmer</w:t>
      </w:r>
      <w:proofErr w:type="spellEnd"/>
      <w:r w:rsidR="002518C1" w:rsidRPr="00CE271E">
        <w:rPr>
          <w:rFonts w:asciiTheme="majorBidi" w:hAnsiTheme="majorBidi" w:cstheme="majorBidi"/>
        </w:rPr>
        <w:t xml:space="preserve"> J.  </w:t>
      </w:r>
      <w:proofErr w:type="gramStart"/>
      <w:r w:rsidR="002518C1" w:rsidRPr="00CE271E">
        <w:rPr>
          <w:rFonts w:asciiTheme="majorBidi" w:hAnsiTheme="majorBidi" w:cstheme="majorBidi"/>
        </w:rPr>
        <w:t xml:space="preserve">Pattern of glaucomatous </w:t>
      </w:r>
      <w:proofErr w:type="spellStart"/>
      <w:r w:rsidR="002518C1" w:rsidRPr="00CE271E">
        <w:rPr>
          <w:rFonts w:asciiTheme="majorBidi" w:hAnsiTheme="majorBidi" w:cstheme="majorBidi"/>
        </w:rPr>
        <w:t>neuroretinal</w:t>
      </w:r>
      <w:proofErr w:type="spellEnd"/>
      <w:r w:rsidR="002518C1" w:rsidRPr="00CE271E">
        <w:rPr>
          <w:rFonts w:asciiTheme="majorBidi" w:hAnsiTheme="majorBidi" w:cstheme="majorBidi"/>
        </w:rPr>
        <w:t xml:space="preserve"> rim loss.</w:t>
      </w:r>
      <w:proofErr w:type="gramEnd"/>
      <w:r w:rsidR="002518C1" w:rsidRPr="00CE271E">
        <w:rPr>
          <w:rFonts w:asciiTheme="majorBidi" w:hAnsiTheme="majorBidi" w:cstheme="majorBidi"/>
        </w:rPr>
        <w:t xml:space="preserve"> Ophthalmology </w:t>
      </w:r>
      <w:proofErr w:type="gramStart"/>
      <w:r w:rsidR="002518C1" w:rsidRPr="00CE271E">
        <w:rPr>
          <w:rFonts w:asciiTheme="majorBidi" w:hAnsiTheme="majorBidi" w:cstheme="majorBidi"/>
        </w:rPr>
        <w:t>1999 ;</w:t>
      </w:r>
      <w:proofErr w:type="gramEnd"/>
      <w:r w:rsidR="002518C1" w:rsidRPr="00CE271E">
        <w:rPr>
          <w:rFonts w:asciiTheme="majorBidi" w:hAnsiTheme="majorBidi" w:cstheme="majorBidi"/>
        </w:rPr>
        <w:t xml:space="preserve"> 100: 63-68.</w:t>
      </w:r>
    </w:p>
    <w:p w:rsidR="002518C1" w:rsidRPr="00CE271E" w:rsidRDefault="005F14B5" w:rsidP="00A167A2">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7</w:t>
      </w:r>
      <w:r w:rsidR="002518C1" w:rsidRPr="00CE271E">
        <w:rPr>
          <w:rFonts w:asciiTheme="majorBidi" w:hAnsiTheme="majorBidi" w:cstheme="majorBidi"/>
        </w:rPr>
        <w:t xml:space="preserve">) Pederson J and Anderson D. </w:t>
      </w:r>
      <w:proofErr w:type="gramStart"/>
      <w:r w:rsidR="002518C1" w:rsidRPr="00CE271E">
        <w:rPr>
          <w:rFonts w:asciiTheme="majorBidi" w:hAnsiTheme="majorBidi" w:cstheme="majorBidi"/>
        </w:rPr>
        <w:t>The mode of progressive disc cupping in ocular hypertension and glaucoma.</w:t>
      </w:r>
      <w:proofErr w:type="gramEnd"/>
      <w:r w:rsidR="002518C1" w:rsidRPr="00CE271E">
        <w:rPr>
          <w:rFonts w:asciiTheme="majorBidi" w:hAnsiTheme="majorBidi" w:cstheme="majorBidi"/>
        </w:rPr>
        <w:t xml:space="preserve"> Arch </w:t>
      </w:r>
      <w:proofErr w:type="spellStart"/>
      <w:r w:rsidR="002518C1" w:rsidRPr="00CE271E">
        <w:rPr>
          <w:rFonts w:asciiTheme="majorBidi" w:hAnsiTheme="majorBidi" w:cstheme="majorBidi"/>
        </w:rPr>
        <w:t>Ophthalmol</w:t>
      </w:r>
      <w:proofErr w:type="spellEnd"/>
      <w:r w:rsidR="002518C1" w:rsidRPr="00CE271E">
        <w:rPr>
          <w:rFonts w:asciiTheme="majorBidi" w:hAnsiTheme="majorBidi" w:cstheme="majorBidi"/>
        </w:rPr>
        <w:t xml:space="preserve"> 2001: 490-495.</w:t>
      </w:r>
    </w:p>
    <w:p w:rsidR="002518C1" w:rsidRPr="00CE271E" w:rsidRDefault="005F14B5" w:rsidP="00A167A2">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8</w:t>
      </w:r>
      <w:r w:rsidR="002518C1" w:rsidRPr="00CE271E">
        <w:rPr>
          <w:rFonts w:asciiTheme="majorBidi" w:hAnsiTheme="majorBidi" w:cstheme="majorBidi"/>
        </w:rPr>
        <w:t xml:space="preserve">) </w:t>
      </w:r>
      <w:proofErr w:type="spellStart"/>
      <w:r w:rsidR="002518C1" w:rsidRPr="00CE271E">
        <w:rPr>
          <w:rFonts w:asciiTheme="majorBidi" w:hAnsiTheme="majorBidi" w:cstheme="majorBidi"/>
        </w:rPr>
        <w:t>Rao</w:t>
      </w:r>
      <w:proofErr w:type="spellEnd"/>
      <w:r w:rsidR="002518C1" w:rsidRPr="00CE271E">
        <w:rPr>
          <w:rFonts w:asciiTheme="majorBidi" w:hAnsiTheme="majorBidi" w:cstheme="majorBidi"/>
        </w:rPr>
        <w:t xml:space="preserve"> H, Zangwill L, </w:t>
      </w:r>
      <w:proofErr w:type="spellStart"/>
      <w:r w:rsidR="002518C1" w:rsidRPr="00CE271E">
        <w:rPr>
          <w:rFonts w:asciiTheme="majorBidi" w:hAnsiTheme="majorBidi" w:cstheme="majorBidi"/>
        </w:rPr>
        <w:t>Weinreb</w:t>
      </w:r>
      <w:proofErr w:type="spellEnd"/>
      <w:r w:rsidR="002518C1" w:rsidRPr="00CE271E">
        <w:rPr>
          <w:rFonts w:asciiTheme="majorBidi" w:hAnsiTheme="majorBidi" w:cstheme="majorBidi"/>
        </w:rPr>
        <w:t xml:space="preserve"> R, et al. Comparison of different spectral domain optical coherence tomography scanning areas for glaucoma diagnosis. Ophthalmology 2010; 117: 1692-1699.</w:t>
      </w:r>
    </w:p>
    <w:p w:rsidR="00051CF9" w:rsidRPr="00CE271E" w:rsidRDefault="005F14B5" w:rsidP="00A167A2">
      <w:pPr>
        <w:autoSpaceDE w:val="0"/>
        <w:autoSpaceDN w:val="0"/>
        <w:bidi w:val="0"/>
        <w:adjustRightInd w:val="0"/>
        <w:spacing w:line="240" w:lineRule="auto"/>
        <w:rPr>
          <w:rFonts w:asciiTheme="majorBidi" w:hAnsiTheme="majorBidi" w:cstheme="majorBidi" w:hint="cs"/>
          <w:rtl/>
          <w:lang w:bidi="ar-EG"/>
        </w:rPr>
      </w:pPr>
      <w:r w:rsidRPr="00CE271E">
        <w:rPr>
          <w:rFonts w:asciiTheme="majorBidi" w:hAnsiTheme="majorBidi" w:cstheme="majorBidi"/>
        </w:rPr>
        <w:t>9</w:t>
      </w:r>
      <w:r w:rsidR="002518C1" w:rsidRPr="00CE271E">
        <w:rPr>
          <w:rFonts w:asciiTheme="majorBidi" w:hAnsiTheme="majorBidi" w:cstheme="majorBidi"/>
        </w:rPr>
        <w:t xml:space="preserve">) Wang X, Li S, Fu J, et al. Comparative study of retinal nerve </w:t>
      </w:r>
      <w:proofErr w:type="spellStart"/>
      <w:r w:rsidR="002518C1" w:rsidRPr="00CE271E">
        <w:rPr>
          <w:rFonts w:asciiTheme="majorBidi" w:hAnsiTheme="majorBidi" w:cstheme="majorBidi"/>
        </w:rPr>
        <w:t>fibre</w:t>
      </w:r>
      <w:proofErr w:type="spellEnd"/>
      <w:r w:rsidR="002518C1" w:rsidRPr="00CE271E">
        <w:rPr>
          <w:rFonts w:asciiTheme="majorBidi" w:hAnsiTheme="majorBidi" w:cstheme="majorBidi"/>
        </w:rPr>
        <w:t xml:space="preserve"> layer measurement by </w:t>
      </w:r>
      <w:proofErr w:type="spellStart"/>
      <w:r w:rsidR="002518C1" w:rsidRPr="00CE271E">
        <w:rPr>
          <w:rFonts w:asciiTheme="majorBidi" w:hAnsiTheme="majorBidi" w:cstheme="majorBidi"/>
        </w:rPr>
        <w:t>RTVue</w:t>
      </w:r>
      <w:proofErr w:type="spellEnd"/>
      <w:r w:rsidR="002518C1" w:rsidRPr="00CE271E">
        <w:rPr>
          <w:rFonts w:asciiTheme="majorBidi" w:hAnsiTheme="majorBidi" w:cstheme="majorBidi"/>
        </w:rPr>
        <w:t xml:space="preserve"> OCT and </w:t>
      </w:r>
      <w:proofErr w:type="spellStart"/>
      <w:r w:rsidR="002518C1" w:rsidRPr="00CE271E">
        <w:rPr>
          <w:rFonts w:asciiTheme="majorBidi" w:hAnsiTheme="majorBidi" w:cstheme="majorBidi"/>
        </w:rPr>
        <w:t>GDx</w:t>
      </w:r>
      <w:proofErr w:type="spellEnd"/>
      <w:r w:rsidR="002518C1" w:rsidRPr="00CE271E">
        <w:rPr>
          <w:rFonts w:asciiTheme="majorBidi" w:hAnsiTheme="majorBidi" w:cstheme="majorBidi"/>
        </w:rPr>
        <w:t xml:space="preserve"> VCC. Br </w:t>
      </w:r>
      <w:proofErr w:type="spellStart"/>
      <w:r w:rsidR="002518C1" w:rsidRPr="00CE271E">
        <w:rPr>
          <w:rFonts w:asciiTheme="majorBidi" w:hAnsiTheme="majorBidi" w:cstheme="majorBidi"/>
        </w:rPr>
        <w:t>JOphthalmol</w:t>
      </w:r>
      <w:proofErr w:type="spellEnd"/>
      <w:r w:rsidR="002518C1" w:rsidRPr="00CE271E">
        <w:rPr>
          <w:rFonts w:asciiTheme="majorBidi" w:hAnsiTheme="majorBidi" w:cstheme="majorBidi"/>
        </w:rPr>
        <w:t xml:space="preserve"> 2011; 95: 509-513.</w:t>
      </w:r>
    </w:p>
    <w:p w:rsidR="002518C1" w:rsidRPr="00CE271E" w:rsidRDefault="005F14B5" w:rsidP="00A167A2">
      <w:pPr>
        <w:autoSpaceDE w:val="0"/>
        <w:autoSpaceDN w:val="0"/>
        <w:bidi w:val="0"/>
        <w:adjustRightInd w:val="0"/>
        <w:spacing w:line="240" w:lineRule="auto"/>
        <w:rPr>
          <w:rFonts w:asciiTheme="majorBidi" w:hAnsiTheme="majorBidi" w:cstheme="majorBidi"/>
          <w:color w:val="000000"/>
        </w:rPr>
      </w:pPr>
      <w:r w:rsidRPr="00CE271E">
        <w:rPr>
          <w:rFonts w:asciiTheme="majorBidi" w:hAnsiTheme="majorBidi" w:cstheme="majorBidi"/>
          <w:color w:val="000000"/>
        </w:rPr>
        <w:t>10</w:t>
      </w:r>
      <w:r w:rsidR="002518C1" w:rsidRPr="00CE271E">
        <w:rPr>
          <w:rFonts w:asciiTheme="majorBidi" w:hAnsiTheme="majorBidi" w:cstheme="majorBidi"/>
          <w:color w:val="000000"/>
        </w:rPr>
        <w:t xml:space="preserve">) Kim N, Lee E, </w:t>
      </w:r>
      <w:proofErr w:type="spellStart"/>
      <w:r w:rsidR="002518C1" w:rsidRPr="00CE271E">
        <w:rPr>
          <w:rFonts w:asciiTheme="majorBidi" w:hAnsiTheme="majorBidi" w:cstheme="majorBidi"/>
          <w:color w:val="000000"/>
        </w:rPr>
        <w:t>Seong</w:t>
      </w:r>
      <w:proofErr w:type="spellEnd"/>
      <w:r w:rsidR="002518C1" w:rsidRPr="00CE271E">
        <w:rPr>
          <w:rFonts w:asciiTheme="majorBidi" w:hAnsiTheme="majorBidi" w:cstheme="majorBidi"/>
          <w:color w:val="000000"/>
        </w:rPr>
        <w:t xml:space="preserve"> G, et al. Comparing the ganglion cell complex and retinal nerve </w:t>
      </w:r>
      <w:proofErr w:type="spellStart"/>
      <w:r w:rsidR="002518C1" w:rsidRPr="00CE271E">
        <w:rPr>
          <w:rFonts w:asciiTheme="majorBidi" w:hAnsiTheme="majorBidi" w:cstheme="majorBidi"/>
          <w:color w:val="000000"/>
        </w:rPr>
        <w:t>fibre</w:t>
      </w:r>
      <w:proofErr w:type="spellEnd"/>
      <w:r w:rsidR="002518C1" w:rsidRPr="00CE271E">
        <w:rPr>
          <w:rFonts w:asciiTheme="majorBidi" w:hAnsiTheme="majorBidi" w:cstheme="majorBidi"/>
          <w:color w:val="000000"/>
        </w:rPr>
        <w:t xml:space="preserve"> layer measurements by Fourier domain OCT to detect glaucoma in high myopia. </w:t>
      </w:r>
      <w:proofErr w:type="gramStart"/>
      <w:r w:rsidR="002518C1" w:rsidRPr="00CE271E">
        <w:rPr>
          <w:rFonts w:asciiTheme="majorBidi" w:hAnsiTheme="majorBidi" w:cstheme="majorBidi"/>
          <w:color w:val="000000"/>
        </w:rPr>
        <w:t xml:space="preserve">Br J </w:t>
      </w:r>
      <w:proofErr w:type="spellStart"/>
      <w:r w:rsidR="002518C1" w:rsidRPr="00CE271E">
        <w:rPr>
          <w:rFonts w:asciiTheme="majorBidi" w:hAnsiTheme="majorBidi" w:cstheme="majorBidi"/>
          <w:color w:val="000000"/>
        </w:rPr>
        <w:t>Ophthalmol</w:t>
      </w:r>
      <w:proofErr w:type="spellEnd"/>
      <w:r w:rsidR="002518C1" w:rsidRPr="00CE271E">
        <w:rPr>
          <w:rFonts w:asciiTheme="majorBidi" w:hAnsiTheme="majorBidi" w:cstheme="majorBidi"/>
          <w:color w:val="000000"/>
        </w:rPr>
        <w:t>.</w:t>
      </w:r>
      <w:proofErr w:type="gramEnd"/>
      <w:r w:rsidR="002518C1" w:rsidRPr="00CE271E">
        <w:rPr>
          <w:rFonts w:asciiTheme="majorBidi" w:hAnsiTheme="majorBidi" w:cstheme="majorBidi"/>
          <w:color w:val="000000"/>
        </w:rPr>
        <w:t xml:space="preserve"> 2011; 95(8):1115–1121.</w:t>
      </w:r>
    </w:p>
    <w:p w:rsidR="002518C1" w:rsidRPr="00CE271E" w:rsidRDefault="005F14B5" w:rsidP="00A167A2">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11</w:t>
      </w:r>
      <w:r w:rsidR="002518C1" w:rsidRPr="00CE271E">
        <w:rPr>
          <w:rFonts w:asciiTheme="majorBidi" w:hAnsiTheme="majorBidi" w:cstheme="majorBidi"/>
        </w:rPr>
        <w:t xml:space="preserve">) Sung K, </w:t>
      </w:r>
      <w:proofErr w:type="spellStart"/>
      <w:r w:rsidR="002518C1" w:rsidRPr="00CE271E">
        <w:rPr>
          <w:rFonts w:asciiTheme="majorBidi" w:hAnsiTheme="majorBidi" w:cstheme="majorBidi"/>
        </w:rPr>
        <w:t>Wollstein</w:t>
      </w:r>
      <w:proofErr w:type="spellEnd"/>
      <w:r w:rsidR="002518C1" w:rsidRPr="00CE271E">
        <w:rPr>
          <w:rFonts w:asciiTheme="majorBidi" w:hAnsiTheme="majorBidi" w:cstheme="majorBidi"/>
        </w:rPr>
        <w:t xml:space="preserve"> G, Kim N, et al. Macular assessment using optical coherence tomography for glaucoma diagnosis. Br </w:t>
      </w:r>
      <w:proofErr w:type="spellStart"/>
      <w:r w:rsidR="002518C1" w:rsidRPr="00CE271E">
        <w:rPr>
          <w:rFonts w:asciiTheme="majorBidi" w:hAnsiTheme="majorBidi" w:cstheme="majorBidi"/>
        </w:rPr>
        <w:t>JOphthalmol</w:t>
      </w:r>
      <w:proofErr w:type="spellEnd"/>
      <w:r w:rsidR="002518C1" w:rsidRPr="00CE271E">
        <w:rPr>
          <w:rFonts w:asciiTheme="majorBidi" w:hAnsiTheme="majorBidi" w:cstheme="majorBidi"/>
        </w:rPr>
        <w:t xml:space="preserve"> 2012; 96: 1452-1455.</w:t>
      </w:r>
    </w:p>
    <w:p w:rsidR="002518C1" w:rsidRPr="00CE271E" w:rsidRDefault="005F14B5" w:rsidP="00A167A2">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12</w:t>
      </w:r>
      <w:r w:rsidR="002518C1" w:rsidRPr="00CE271E">
        <w:rPr>
          <w:rFonts w:asciiTheme="majorBidi" w:hAnsiTheme="majorBidi" w:cstheme="majorBidi"/>
        </w:rPr>
        <w:t xml:space="preserve">) Hood D., </w:t>
      </w:r>
      <w:proofErr w:type="spellStart"/>
      <w:r w:rsidR="002518C1" w:rsidRPr="00CE271E">
        <w:rPr>
          <w:rFonts w:asciiTheme="majorBidi" w:hAnsiTheme="majorBidi" w:cstheme="majorBidi"/>
        </w:rPr>
        <w:t>Raza</w:t>
      </w:r>
      <w:proofErr w:type="spellEnd"/>
      <w:r w:rsidR="002518C1" w:rsidRPr="00CE271E">
        <w:rPr>
          <w:rFonts w:asciiTheme="majorBidi" w:hAnsiTheme="majorBidi" w:cstheme="majorBidi"/>
        </w:rPr>
        <w:t xml:space="preserve"> A., de </w:t>
      </w:r>
      <w:proofErr w:type="spellStart"/>
      <w:r w:rsidR="002518C1" w:rsidRPr="00CE271E">
        <w:rPr>
          <w:rFonts w:asciiTheme="majorBidi" w:hAnsiTheme="majorBidi" w:cstheme="majorBidi"/>
        </w:rPr>
        <w:t>Moraes</w:t>
      </w:r>
      <w:proofErr w:type="spellEnd"/>
      <w:r w:rsidR="002518C1" w:rsidRPr="00CE271E">
        <w:rPr>
          <w:rFonts w:asciiTheme="majorBidi" w:hAnsiTheme="majorBidi" w:cstheme="majorBidi"/>
        </w:rPr>
        <w:t xml:space="preserve"> C. et al.: Glaucomatous damage of the macula. </w:t>
      </w:r>
      <w:proofErr w:type="spellStart"/>
      <w:r w:rsidR="002518C1" w:rsidRPr="00CE271E">
        <w:rPr>
          <w:rFonts w:asciiTheme="majorBidi" w:hAnsiTheme="majorBidi" w:cstheme="majorBidi"/>
        </w:rPr>
        <w:t>ProgRetin</w:t>
      </w:r>
      <w:proofErr w:type="spellEnd"/>
      <w:r w:rsidR="002518C1" w:rsidRPr="00CE271E">
        <w:rPr>
          <w:rFonts w:asciiTheme="majorBidi" w:hAnsiTheme="majorBidi" w:cstheme="majorBidi"/>
        </w:rPr>
        <w:t xml:space="preserve"> Eye Res. 2013</w:t>
      </w:r>
      <w:proofErr w:type="gramStart"/>
      <w:r w:rsidR="002518C1" w:rsidRPr="00CE271E">
        <w:rPr>
          <w:rFonts w:asciiTheme="majorBidi" w:hAnsiTheme="majorBidi" w:cstheme="majorBidi"/>
        </w:rPr>
        <w:t>;32</w:t>
      </w:r>
      <w:proofErr w:type="gramEnd"/>
      <w:r w:rsidR="002518C1" w:rsidRPr="00CE271E">
        <w:rPr>
          <w:rFonts w:asciiTheme="majorBidi" w:hAnsiTheme="majorBidi" w:cstheme="majorBidi"/>
        </w:rPr>
        <w:t>: 1-21.</w:t>
      </w:r>
    </w:p>
    <w:p w:rsidR="002518C1" w:rsidRPr="00A167A2" w:rsidRDefault="002518C1" w:rsidP="00A167A2">
      <w:pPr>
        <w:autoSpaceDE w:val="0"/>
        <w:autoSpaceDN w:val="0"/>
        <w:bidi w:val="0"/>
        <w:adjustRightInd w:val="0"/>
        <w:spacing w:line="240" w:lineRule="auto"/>
        <w:rPr>
          <w:rFonts w:asciiTheme="majorBidi" w:hAnsiTheme="majorBidi" w:cstheme="majorBidi"/>
        </w:rPr>
      </w:pPr>
      <w:r w:rsidRPr="00CE271E">
        <w:rPr>
          <w:rFonts w:asciiTheme="majorBidi" w:hAnsiTheme="majorBidi" w:cstheme="majorBidi"/>
        </w:rPr>
        <w:t>1</w:t>
      </w:r>
      <w:r w:rsidR="005F14B5" w:rsidRPr="00CE271E">
        <w:rPr>
          <w:rFonts w:asciiTheme="majorBidi" w:hAnsiTheme="majorBidi" w:cstheme="majorBidi"/>
        </w:rPr>
        <w:t>3</w:t>
      </w:r>
      <w:r w:rsidRPr="00CE271E">
        <w:rPr>
          <w:rFonts w:asciiTheme="majorBidi" w:hAnsiTheme="majorBidi" w:cstheme="majorBidi"/>
        </w:rPr>
        <w:t xml:space="preserve">) </w:t>
      </w:r>
      <w:proofErr w:type="spellStart"/>
      <w:r w:rsidRPr="00CE271E">
        <w:rPr>
          <w:rFonts w:asciiTheme="majorBidi" w:hAnsiTheme="majorBidi" w:cstheme="majorBidi"/>
        </w:rPr>
        <w:t>Lisboa</w:t>
      </w:r>
      <w:proofErr w:type="spellEnd"/>
      <w:r w:rsidRPr="00CE271E">
        <w:rPr>
          <w:rFonts w:asciiTheme="majorBidi" w:hAnsiTheme="majorBidi" w:cstheme="majorBidi"/>
        </w:rPr>
        <w:t xml:space="preserve"> R., </w:t>
      </w:r>
      <w:proofErr w:type="spellStart"/>
      <w:r w:rsidRPr="00CE271E">
        <w:rPr>
          <w:rFonts w:asciiTheme="majorBidi" w:hAnsiTheme="majorBidi" w:cstheme="majorBidi"/>
        </w:rPr>
        <w:t>Paranhos</w:t>
      </w:r>
      <w:proofErr w:type="spellEnd"/>
      <w:r w:rsidRPr="00CE271E">
        <w:rPr>
          <w:rFonts w:asciiTheme="majorBidi" w:hAnsiTheme="majorBidi" w:cstheme="majorBidi"/>
        </w:rPr>
        <w:t xml:space="preserve"> A., </w:t>
      </w:r>
      <w:proofErr w:type="spellStart"/>
      <w:r w:rsidRPr="00CE271E">
        <w:rPr>
          <w:rFonts w:asciiTheme="majorBidi" w:hAnsiTheme="majorBidi" w:cstheme="majorBidi"/>
        </w:rPr>
        <w:t>Weinreb</w:t>
      </w:r>
      <w:proofErr w:type="spellEnd"/>
      <w:r w:rsidRPr="00CE271E">
        <w:rPr>
          <w:rFonts w:asciiTheme="majorBidi" w:hAnsiTheme="majorBidi" w:cstheme="majorBidi"/>
        </w:rPr>
        <w:t xml:space="preserve"> R., </w:t>
      </w:r>
      <w:proofErr w:type="gramStart"/>
      <w:r w:rsidRPr="00CE271E">
        <w:rPr>
          <w:rFonts w:asciiTheme="majorBidi" w:hAnsiTheme="majorBidi" w:cstheme="majorBidi"/>
        </w:rPr>
        <w:t>et</w:t>
      </w:r>
      <w:proofErr w:type="gramEnd"/>
      <w:r w:rsidRPr="00CE271E">
        <w:rPr>
          <w:rFonts w:asciiTheme="majorBidi" w:hAnsiTheme="majorBidi" w:cstheme="majorBidi"/>
        </w:rPr>
        <w:t xml:space="preserve"> al.: Comparison of different spectral domain OCT scanning protocols for diagnosing </w:t>
      </w:r>
      <w:proofErr w:type="spellStart"/>
      <w:r w:rsidRPr="00CE271E">
        <w:rPr>
          <w:rFonts w:asciiTheme="majorBidi" w:hAnsiTheme="majorBidi" w:cstheme="majorBidi"/>
        </w:rPr>
        <w:t>preperimetric</w:t>
      </w:r>
      <w:proofErr w:type="spellEnd"/>
      <w:r w:rsidRPr="00CE271E">
        <w:rPr>
          <w:rFonts w:asciiTheme="majorBidi" w:hAnsiTheme="majorBidi" w:cstheme="majorBidi"/>
        </w:rPr>
        <w:t xml:space="preserve"> </w:t>
      </w:r>
      <w:proofErr w:type="spellStart"/>
      <w:r w:rsidRPr="00CE271E">
        <w:rPr>
          <w:rFonts w:asciiTheme="majorBidi" w:hAnsiTheme="majorBidi" w:cstheme="majorBidi"/>
        </w:rPr>
        <w:t>gla</w:t>
      </w:r>
      <w:proofErr w:type="spellEnd"/>
      <w:r w:rsidRPr="00CE271E">
        <w:rPr>
          <w:rFonts w:asciiTheme="majorBidi" w:hAnsiTheme="majorBidi" w:cstheme="majorBidi"/>
        </w:rPr>
        <w:t xml:space="preserve"> </w:t>
      </w:r>
      <w:proofErr w:type="spellStart"/>
      <w:r w:rsidRPr="00CE271E">
        <w:rPr>
          <w:rFonts w:asciiTheme="majorBidi" w:hAnsiTheme="majorBidi" w:cstheme="majorBidi"/>
        </w:rPr>
        <w:t>ucoma</w:t>
      </w:r>
      <w:proofErr w:type="spellEnd"/>
      <w:r w:rsidRPr="00CE271E">
        <w:rPr>
          <w:rFonts w:asciiTheme="majorBidi" w:hAnsiTheme="majorBidi" w:cstheme="majorBidi"/>
        </w:rPr>
        <w:t xml:space="preserve">. Invest </w:t>
      </w:r>
      <w:proofErr w:type="spellStart"/>
      <w:r w:rsidRPr="00CE271E">
        <w:rPr>
          <w:rFonts w:asciiTheme="majorBidi" w:hAnsiTheme="majorBidi" w:cstheme="majorBidi"/>
        </w:rPr>
        <w:t>Ophthalmol</w:t>
      </w:r>
      <w:proofErr w:type="spellEnd"/>
      <w:r w:rsidRPr="00CE271E">
        <w:rPr>
          <w:rFonts w:asciiTheme="majorBidi" w:hAnsiTheme="majorBidi" w:cstheme="majorBidi"/>
        </w:rPr>
        <w:t xml:space="preserve"> Vis Sci. 2013</w:t>
      </w:r>
      <w:proofErr w:type="gramStart"/>
      <w:r w:rsidRPr="00CE271E">
        <w:rPr>
          <w:rFonts w:asciiTheme="majorBidi" w:hAnsiTheme="majorBidi" w:cstheme="majorBidi"/>
        </w:rPr>
        <w:t>;54</w:t>
      </w:r>
      <w:proofErr w:type="gramEnd"/>
      <w:r w:rsidRPr="00CE271E">
        <w:rPr>
          <w:rFonts w:asciiTheme="majorBidi" w:hAnsiTheme="majorBidi" w:cstheme="majorBidi"/>
        </w:rPr>
        <w:t>: 3417-3425</w:t>
      </w:r>
    </w:p>
    <w:p w:rsidR="00CE271E" w:rsidRDefault="002518C1" w:rsidP="00A167A2">
      <w:pPr>
        <w:pStyle w:val="Heading2"/>
        <w:spacing w:before="0" w:beforeAutospacing="0" w:after="0" w:afterAutospacing="0"/>
        <w:jc w:val="both"/>
        <w:rPr>
          <w:rFonts w:asciiTheme="majorBidi" w:hAnsiTheme="majorBidi" w:cstheme="majorBidi"/>
          <w:b w:val="0"/>
          <w:bCs w:val="0"/>
          <w:sz w:val="22"/>
          <w:szCs w:val="22"/>
          <w:lang w:bidi="ar-EG"/>
        </w:rPr>
      </w:pPr>
      <w:r w:rsidRPr="00CE271E">
        <w:rPr>
          <w:rFonts w:asciiTheme="majorBidi" w:hAnsiTheme="majorBidi" w:cstheme="majorBidi"/>
          <w:b w:val="0"/>
          <w:bCs w:val="0"/>
          <w:sz w:val="22"/>
          <w:szCs w:val="22"/>
          <w:lang w:bidi="ar-EG"/>
        </w:rPr>
        <w:t>1</w:t>
      </w:r>
      <w:r w:rsidR="005F14B5" w:rsidRPr="00CE271E">
        <w:rPr>
          <w:rFonts w:asciiTheme="majorBidi" w:hAnsiTheme="majorBidi" w:cstheme="majorBidi"/>
          <w:b w:val="0"/>
          <w:bCs w:val="0"/>
          <w:sz w:val="22"/>
          <w:szCs w:val="22"/>
          <w:lang w:bidi="ar-EG"/>
        </w:rPr>
        <w:t>4</w:t>
      </w:r>
      <w:r w:rsidRPr="00CE271E">
        <w:rPr>
          <w:rFonts w:asciiTheme="majorBidi" w:hAnsiTheme="majorBidi" w:cstheme="majorBidi"/>
          <w:b w:val="0"/>
          <w:bCs w:val="0"/>
          <w:sz w:val="22"/>
          <w:szCs w:val="22"/>
          <w:lang w:bidi="ar-EG"/>
        </w:rPr>
        <w:t xml:space="preserve">) </w:t>
      </w:r>
      <w:proofErr w:type="spellStart"/>
      <w:r w:rsidRPr="00CE271E">
        <w:rPr>
          <w:rFonts w:asciiTheme="majorBidi" w:hAnsiTheme="majorBidi" w:cstheme="majorBidi"/>
          <w:b w:val="0"/>
          <w:bCs w:val="0"/>
          <w:sz w:val="22"/>
          <w:szCs w:val="22"/>
          <w:lang w:bidi="ar-EG"/>
        </w:rPr>
        <w:t>GadiWollstein</w:t>
      </w:r>
      <w:proofErr w:type="spellEnd"/>
      <w:r w:rsidRPr="00CE271E">
        <w:rPr>
          <w:rFonts w:asciiTheme="majorBidi" w:hAnsiTheme="majorBidi" w:cstheme="majorBidi"/>
          <w:b w:val="0"/>
          <w:bCs w:val="0"/>
          <w:sz w:val="22"/>
          <w:szCs w:val="22"/>
          <w:lang w:bidi="ar-EG"/>
        </w:rPr>
        <w:t xml:space="preserve"> M, Joel S., Lori L., </w:t>
      </w:r>
      <w:proofErr w:type="spellStart"/>
      <w:r w:rsidRPr="00CE271E">
        <w:rPr>
          <w:rFonts w:asciiTheme="majorBidi" w:hAnsiTheme="majorBidi" w:cstheme="majorBidi"/>
          <w:b w:val="0"/>
          <w:bCs w:val="0"/>
          <w:sz w:val="22"/>
          <w:szCs w:val="22"/>
          <w:lang w:bidi="ar-EG"/>
        </w:rPr>
        <w:t>etal</w:t>
      </w:r>
      <w:proofErr w:type="spellEnd"/>
      <w:r w:rsidRPr="00CE271E">
        <w:rPr>
          <w:rFonts w:asciiTheme="majorBidi" w:hAnsiTheme="majorBidi" w:cstheme="majorBidi"/>
          <w:b w:val="0"/>
          <w:bCs w:val="0"/>
          <w:sz w:val="22"/>
          <w:szCs w:val="22"/>
          <w:lang w:bidi="ar-EG"/>
        </w:rPr>
        <w:t>., American Journal of ophthalmology ,volume 138 ,Issue 2 ,August 2004,218-225.</w:t>
      </w:r>
    </w:p>
    <w:p w:rsidR="00CE271E" w:rsidRDefault="00CE271E" w:rsidP="00A167A2">
      <w:pPr>
        <w:pStyle w:val="Heading2"/>
        <w:spacing w:before="0" w:beforeAutospacing="0" w:after="0" w:afterAutospacing="0"/>
        <w:jc w:val="both"/>
        <w:rPr>
          <w:rFonts w:asciiTheme="majorBidi" w:hAnsiTheme="majorBidi" w:cstheme="majorBidi"/>
          <w:b w:val="0"/>
          <w:bCs w:val="0"/>
          <w:sz w:val="22"/>
          <w:szCs w:val="22"/>
          <w:lang w:bidi="ar-EG"/>
        </w:rPr>
      </w:pPr>
    </w:p>
    <w:p w:rsidR="00CE271E" w:rsidRDefault="00CE271E" w:rsidP="00A167A2">
      <w:pPr>
        <w:pStyle w:val="Heading2"/>
        <w:spacing w:before="0" w:beforeAutospacing="0" w:after="0" w:afterAutospacing="0"/>
        <w:jc w:val="both"/>
        <w:rPr>
          <w:rFonts w:asciiTheme="majorBidi" w:hAnsiTheme="majorBidi" w:cstheme="majorBidi"/>
          <w:b w:val="0"/>
          <w:bCs w:val="0"/>
          <w:sz w:val="22"/>
          <w:szCs w:val="22"/>
          <w:lang w:bidi="ar-EG"/>
        </w:rPr>
      </w:pPr>
    </w:p>
    <w:p w:rsidR="00CE271E" w:rsidRDefault="00CE271E" w:rsidP="00A167A2">
      <w:pPr>
        <w:pStyle w:val="Heading2"/>
        <w:spacing w:before="0" w:beforeAutospacing="0" w:after="0" w:afterAutospacing="0"/>
        <w:jc w:val="both"/>
        <w:rPr>
          <w:rFonts w:asciiTheme="majorBidi" w:hAnsiTheme="majorBidi" w:cstheme="majorBidi"/>
          <w:b w:val="0"/>
          <w:bCs w:val="0"/>
          <w:sz w:val="22"/>
          <w:szCs w:val="22"/>
          <w:lang w:bidi="ar-EG"/>
        </w:rPr>
      </w:pPr>
    </w:p>
    <w:p w:rsidR="00A167A2" w:rsidRDefault="00A167A2" w:rsidP="00CE271E">
      <w:pPr>
        <w:pStyle w:val="Heading2"/>
        <w:spacing w:before="0" w:beforeAutospacing="0" w:after="0" w:afterAutospacing="0"/>
        <w:jc w:val="both"/>
        <w:rPr>
          <w:rFonts w:asciiTheme="majorBidi" w:hAnsiTheme="majorBidi" w:cstheme="majorBidi"/>
          <w:b w:val="0"/>
          <w:bCs w:val="0"/>
          <w:sz w:val="22"/>
          <w:szCs w:val="22"/>
          <w:lang w:bidi="ar-EG"/>
        </w:rPr>
      </w:pPr>
    </w:p>
    <w:p w:rsidR="00A167A2" w:rsidRDefault="00A167A2" w:rsidP="00CE271E">
      <w:pPr>
        <w:pStyle w:val="Heading2"/>
        <w:spacing w:before="0" w:beforeAutospacing="0" w:after="0" w:afterAutospacing="0"/>
        <w:jc w:val="both"/>
        <w:rPr>
          <w:rFonts w:asciiTheme="majorBidi" w:hAnsiTheme="majorBidi" w:cstheme="majorBidi"/>
          <w:b w:val="0"/>
          <w:bCs w:val="0"/>
          <w:sz w:val="22"/>
          <w:szCs w:val="22"/>
          <w:lang w:bidi="ar-EG"/>
        </w:rPr>
      </w:pPr>
    </w:p>
    <w:p w:rsidR="00A167A2" w:rsidRDefault="00A167A2" w:rsidP="00CE271E">
      <w:pPr>
        <w:pStyle w:val="Heading2"/>
        <w:spacing w:before="0" w:beforeAutospacing="0" w:after="0" w:afterAutospacing="0"/>
        <w:jc w:val="both"/>
        <w:rPr>
          <w:rFonts w:asciiTheme="majorBidi" w:hAnsiTheme="majorBidi" w:cstheme="majorBidi"/>
          <w:b w:val="0"/>
          <w:bCs w:val="0"/>
          <w:sz w:val="22"/>
          <w:szCs w:val="22"/>
          <w:lang w:bidi="ar-EG"/>
        </w:rPr>
      </w:pPr>
    </w:p>
    <w:p w:rsidR="00A167A2" w:rsidRDefault="00A167A2" w:rsidP="00CE271E">
      <w:pPr>
        <w:pStyle w:val="Heading2"/>
        <w:spacing w:before="0" w:beforeAutospacing="0" w:after="0" w:afterAutospacing="0"/>
        <w:jc w:val="both"/>
        <w:rPr>
          <w:rFonts w:asciiTheme="majorBidi" w:hAnsiTheme="majorBidi" w:cstheme="majorBidi"/>
          <w:b w:val="0"/>
          <w:bCs w:val="0"/>
          <w:sz w:val="22"/>
          <w:szCs w:val="22"/>
          <w:lang w:bidi="ar-EG"/>
        </w:rPr>
      </w:pPr>
    </w:p>
    <w:p w:rsidR="00A167A2" w:rsidRDefault="00A167A2" w:rsidP="00CE271E">
      <w:pPr>
        <w:pStyle w:val="Heading2"/>
        <w:spacing w:before="0" w:beforeAutospacing="0" w:after="0" w:afterAutospacing="0"/>
        <w:jc w:val="both"/>
        <w:rPr>
          <w:rFonts w:asciiTheme="majorBidi" w:hAnsiTheme="majorBidi" w:cstheme="majorBidi"/>
          <w:b w:val="0"/>
          <w:bCs w:val="0"/>
          <w:sz w:val="22"/>
          <w:szCs w:val="22"/>
          <w:lang w:bidi="ar-EG"/>
        </w:rPr>
      </w:pPr>
    </w:p>
    <w:p w:rsidR="00A167A2" w:rsidRDefault="00A167A2" w:rsidP="00CE271E">
      <w:pPr>
        <w:pStyle w:val="Heading2"/>
        <w:spacing w:before="0" w:beforeAutospacing="0" w:after="0" w:afterAutospacing="0"/>
        <w:jc w:val="both"/>
        <w:rPr>
          <w:rFonts w:asciiTheme="majorBidi" w:hAnsiTheme="majorBidi" w:cstheme="majorBidi"/>
          <w:b w:val="0"/>
          <w:bCs w:val="0"/>
          <w:sz w:val="22"/>
          <w:szCs w:val="22"/>
          <w:lang w:bidi="ar-EG"/>
        </w:rPr>
      </w:pPr>
    </w:p>
    <w:p w:rsidR="00A167A2" w:rsidRDefault="00A167A2" w:rsidP="00CE271E">
      <w:pPr>
        <w:pStyle w:val="Heading2"/>
        <w:spacing w:before="0" w:beforeAutospacing="0" w:after="0" w:afterAutospacing="0"/>
        <w:jc w:val="both"/>
        <w:rPr>
          <w:rFonts w:asciiTheme="majorBidi" w:hAnsiTheme="majorBidi" w:cstheme="majorBidi"/>
          <w:b w:val="0"/>
          <w:bCs w:val="0"/>
          <w:sz w:val="22"/>
          <w:szCs w:val="22"/>
          <w:lang w:bidi="ar-EG"/>
        </w:rPr>
      </w:pPr>
    </w:p>
    <w:p w:rsidR="002518C1" w:rsidRDefault="002518C1" w:rsidP="00CE271E">
      <w:pPr>
        <w:pStyle w:val="Heading2"/>
        <w:spacing w:before="0" w:beforeAutospacing="0" w:after="0" w:afterAutospacing="0"/>
        <w:jc w:val="both"/>
        <w:rPr>
          <w:rFonts w:asciiTheme="majorBidi" w:hAnsiTheme="majorBidi" w:cstheme="majorBidi"/>
          <w:b w:val="0"/>
          <w:bCs w:val="0"/>
          <w:sz w:val="22"/>
          <w:szCs w:val="22"/>
          <w:lang w:bidi="ar-EG"/>
        </w:rPr>
      </w:pPr>
      <w:r w:rsidRPr="00CE271E">
        <w:rPr>
          <w:rFonts w:asciiTheme="majorBidi" w:hAnsiTheme="majorBidi" w:cstheme="majorBidi"/>
          <w:b w:val="0"/>
          <w:bCs w:val="0"/>
          <w:sz w:val="22"/>
          <w:szCs w:val="22"/>
          <w:lang w:bidi="ar-EG"/>
        </w:rPr>
        <w:t xml:space="preserve"> </w:t>
      </w:r>
    </w:p>
    <w:p w:rsidR="00386ADD" w:rsidRDefault="00386ADD" w:rsidP="00CE271E">
      <w:pPr>
        <w:pStyle w:val="Heading2"/>
        <w:spacing w:before="0" w:beforeAutospacing="0" w:after="0" w:afterAutospacing="0"/>
        <w:jc w:val="both"/>
        <w:rPr>
          <w:rFonts w:asciiTheme="majorBidi" w:hAnsiTheme="majorBidi" w:cstheme="majorBidi"/>
          <w:b w:val="0"/>
          <w:bCs w:val="0"/>
          <w:sz w:val="22"/>
          <w:szCs w:val="22"/>
          <w:lang w:bidi="ar-EG"/>
        </w:rPr>
      </w:pPr>
    </w:p>
    <w:p w:rsidR="00386ADD" w:rsidRDefault="00386ADD" w:rsidP="00CE271E">
      <w:pPr>
        <w:pStyle w:val="Heading2"/>
        <w:spacing w:before="0" w:beforeAutospacing="0" w:after="0" w:afterAutospacing="0"/>
        <w:jc w:val="both"/>
        <w:rPr>
          <w:rFonts w:asciiTheme="majorBidi" w:hAnsiTheme="majorBidi" w:cstheme="majorBidi"/>
          <w:b w:val="0"/>
          <w:bCs w:val="0"/>
          <w:sz w:val="22"/>
          <w:szCs w:val="22"/>
          <w:lang w:bidi="ar-EG"/>
        </w:rPr>
      </w:pPr>
    </w:p>
    <w:p w:rsidR="00386ADD" w:rsidRPr="00CE271E" w:rsidRDefault="00386ADD" w:rsidP="00CE271E">
      <w:pPr>
        <w:pStyle w:val="Heading2"/>
        <w:spacing w:before="0" w:beforeAutospacing="0" w:after="0" w:afterAutospacing="0"/>
        <w:jc w:val="both"/>
        <w:rPr>
          <w:rFonts w:asciiTheme="majorBidi" w:hAnsiTheme="majorBidi" w:cstheme="majorBidi"/>
          <w:b w:val="0"/>
          <w:bCs w:val="0"/>
          <w:sz w:val="22"/>
          <w:szCs w:val="22"/>
          <w:lang w:bidi="ar-EG"/>
        </w:rPr>
      </w:pPr>
    </w:p>
    <w:p w:rsidR="00F85F8C" w:rsidRPr="00A167A2" w:rsidRDefault="005F14B5" w:rsidP="00A167A2">
      <w:pPr>
        <w:bidi w:val="0"/>
        <w:spacing w:line="240" w:lineRule="auto"/>
        <w:rPr>
          <w:rFonts w:asciiTheme="majorBidi" w:hAnsiTheme="majorBidi" w:cstheme="majorBidi"/>
          <w:b/>
          <w:bCs/>
          <w:sz w:val="28"/>
          <w:szCs w:val="28"/>
          <w:u w:val="dotted"/>
          <w:lang w:bidi="ar-EG"/>
        </w:rPr>
      </w:pPr>
      <w:r w:rsidRPr="005B3264">
        <w:rPr>
          <w:rFonts w:asciiTheme="majorBidi" w:hAnsiTheme="majorBidi" w:cstheme="majorBidi"/>
          <w:b/>
          <w:bCs/>
          <w:sz w:val="28"/>
          <w:szCs w:val="28"/>
          <w:u w:val="dotted"/>
          <w:lang w:bidi="ar-EG"/>
        </w:rPr>
        <w:lastRenderedPageBreak/>
        <w:t>Tables</w:t>
      </w:r>
    </w:p>
    <w:p w:rsidR="005F14B5" w:rsidRPr="00F85F8C" w:rsidRDefault="005F14B5" w:rsidP="00A167A2">
      <w:pPr>
        <w:bidi w:val="0"/>
        <w:spacing w:line="240" w:lineRule="auto"/>
        <w:jc w:val="left"/>
        <w:rPr>
          <w:rFonts w:asciiTheme="majorBidi" w:hAnsiTheme="majorBidi" w:cstheme="majorBidi"/>
          <w:sz w:val="24"/>
          <w:szCs w:val="24"/>
          <w:lang w:bidi="ar-EG"/>
        </w:rPr>
      </w:pPr>
      <w:r w:rsidRPr="005F14B5">
        <w:rPr>
          <w:rFonts w:asciiTheme="majorBidi" w:hAnsiTheme="majorBidi" w:cstheme="majorBidi"/>
          <w:sz w:val="24"/>
          <w:szCs w:val="24"/>
          <w:lang w:bidi="ar-EG"/>
        </w:rPr>
        <w:t>Table (1).Correlation between VF severity i</w:t>
      </w:r>
      <w:r w:rsidR="00A167A2">
        <w:rPr>
          <w:rFonts w:asciiTheme="majorBidi" w:hAnsiTheme="majorBidi" w:cstheme="majorBidi"/>
          <w:sz w:val="24"/>
          <w:szCs w:val="24"/>
          <w:lang w:bidi="ar-EG"/>
        </w:rPr>
        <w:t xml:space="preserve">ndices and OCT parameters among </w:t>
      </w:r>
      <w:r w:rsidRPr="005F14B5">
        <w:rPr>
          <w:rFonts w:asciiTheme="majorBidi" w:hAnsiTheme="majorBidi" w:cstheme="majorBidi"/>
          <w:sz w:val="24"/>
          <w:szCs w:val="24"/>
          <w:lang w:bidi="ar-EG"/>
        </w:rPr>
        <w:t xml:space="preserve">glaucoma cases </w:t>
      </w:r>
      <w:r w:rsidR="000B728D" w:rsidRPr="00F85F8C">
        <w:rPr>
          <w:rFonts w:asciiTheme="majorBidi" w:hAnsiTheme="majorBidi" w:cstheme="majorBidi"/>
          <w:sz w:val="24"/>
          <w:szCs w:val="24"/>
          <w:lang w:bidi="ar-EG"/>
        </w:rPr>
        <w:t xml:space="preserve">              </w:t>
      </w:r>
    </w:p>
    <w:tbl>
      <w:tblPr>
        <w:tblW w:w="5675" w:type="dxa"/>
        <w:jc w:val="center"/>
        <w:tblLook w:val="04A0"/>
      </w:tblPr>
      <w:tblGrid>
        <w:gridCol w:w="2324"/>
        <w:gridCol w:w="759"/>
        <w:gridCol w:w="772"/>
        <w:gridCol w:w="849"/>
        <w:gridCol w:w="971"/>
      </w:tblGrid>
      <w:tr w:rsidR="005F14B5" w:rsidRPr="00774BCB" w:rsidTr="005F14B5">
        <w:trPr>
          <w:trHeight w:val="300"/>
          <w:jc w:val="center"/>
        </w:trPr>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 </w:t>
            </w:r>
          </w:p>
        </w:tc>
        <w:tc>
          <w:tcPr>
            <w:tcW w:w="1531" w:type="dxa"/>
            <w:gridSpan w:val="2"/>
            <w:tcBorders>
              <w:top w:val="single" w:sz="4" w:space="0" w:color="auto"/>
              <w:left w:val="nil"/>
              <w:bottom w:val="single" w:sz="4" w:space="0" w:color="auto"/>
              <w:right w:val="single" w:sz="4" w:space="0" w:color="auto"/>
            </w:tcBorders>
            <w:shd w:val="clear" w:color="auto" w:fill="auto"/>
            <w:vAlign w:val="bottom"/>
          </w:tcPr>
          <w:p w:rsidR="005F14B5" w:rsidRPr="00774BCB"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Mean deviation</w:t>
            </w:r>
          </w:p>
        </w:tc>
        <w:tc>
          <w:tcPr>
            <w:tcW w:w="1820" w:type="dxa"/>
            <w:gridSpan w:val="2"/>
            <w:tcBorders>
              <w:top w:val="single" w:sz="4" w:space="0" w:color="auto"/>
              <w:left w:val="nil"/>
              <w:bottom w:val="single" w:sz="4" w:space="0" w:color="auto"/>
              <w:right w:val="single" w:sz="4" w:space="0" w:color="auto"/>
            </w:tcBorders>
            <w:shd w:val="clear" w:color="auto" w:fill="auto"/>
            <w:vAlign w:val="bottom"/>
          </w:tcPr>
          <w:p w:rsidR="005F14B5" w:rsidRPr="00774BCB"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PSD (Pattern SD)</w:t>
            </w:r>
          </w:p>
        </w:tc>
      </w:tr>
      <w:tr w:rsidR="005F14B5" w:rsidRPr="00774BCB" w:rsidTr="005F14B5">
        <w:trPr>
          <w:trHeight w:val="300"/>
          <w:jc w:val="center"/>
        </w:trPr>
        <w:tc>
          <w:tcPr>
            <w:tcW w:w="2324" w:type="dxa"/>
            <w:vMerge/>
            <w:tcBorders>
              <w:top w:val="single" w:sz="4" w:space="0" w:color="auto"/>
              <w:left w:val="single" w:sz="4" w:space="0" w:color="auto"/>
              <w:bottom w:val="single" w:sz="4" w:space="0" w:color="auto"/>
              <w:right w:val="single" w:sz="4" w:space="0" w:color="auto"/>
            </w:tcBorders>
            <w:vAlign w:val="center"/>
            <w:hideMark/>
          </w:tcPr>
          <w:p w:rsidR="005F14B5" w:rsidRPr="00774BCB" w:rsidRDefault="005F14B5" w:rsidP="005F14B5">
            <w:pPr>
              <w:bidi w:val="0"/>
              <w:spacing w:line="360" w:lineRule="auto"/>
              <w:rPr>
                <w:rFonts w:ascii="Arial" w:hAnsi="Arial" w:cs="Arial"/>
                <w:b/>
                <w:bCs/>
                <w:color w:val="000000"/>
                <w:sz w:val="18"/>
                <w:szCs w:val="18"/>
              </w:rPr>
            </w:pPr>
          </w:p>
        </w:tc>
        <w:tc>
          <w:tcPr>
            <w:tcW w:w="759" w:type="dxa"/>
            <w:tcBorders>
              <w:top w:val="nil"/>
              <w:left w:val="nil"/>
              <w:bottom w:val="single" w:sz="4" w:space="0" w:color="auto"/>
              <w:right w:val="single" w:sz="4" w:space="0" w:color="auto"/>
            </w:tcBorders>
            <w:shd w:val="clear" w:color="auto" w:fill="DDD9C3" w:themeFill="background2" w:themeFillShade="E6"/>
            <w:vAlign w:val="bottom"/>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r</w:t>
            </w:r>
          </w:p>
        </w:tc>
        <w:tc>
          <w:tcPr>
            <w:tcW w:w="772" w:type="dxa"/>
            <w:tcBorders>
              <w:top w:val="nil"/>
              <w:left w:val="nil"/>
              <w:bottom w:val="single" w:sz="4" w:space="0" w:color="auto"/>
              <w:right w:val="single" w:sz="4" w:space="0" w:color="auto"/>
            </w:tcBorders>
            <w:shd w:val="clear" w:color="auto" w:fill="FDE9D9" w:themeFill="accent6" w:themeFillTint="33"/>
            <w:vAlign w:val="bottom"/>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p</w:t>
            </w:r>
          </w:p>
        </w:tc>
        <w:tc>
          <w:tcPr>
            <w:tcW w:w="849" w:type="dxa"/>
            <w:tcBorders>
              <w:top w:val="nil"/>
              <w:left w:val="nil"/>
              <w:bottom w:val="single" w:sz="4" w:space="0" w:color="auto"/>
              <w:right w:val="single" w:sz="4" w:space="0" w:color="auto"/>
            </w:tcBorders>
            <w:shd w:val="clear" w:color="auto" w:fill="DDD9C3" w:themeFill="background2" w:themeFillShade="E6"/>
            <w:vAlign w:val="bottom"/>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r</w:t>
            </w:r>
          </w:p>
        </w:tc>
        <w:tc>
          <w:tcPr>
            <w:tcW w:w="971" w:type="dxa"/>
            <w:tcBorders>
              <w:top w:val="nil"/>
              <w:left w:val="nil"/>
              <w:bottom w:val="single" w:sz="4" w:space="0" w:color="auto"/>
              <w:right w:val="single" w:sz="4" w:space="0" w:color="auto"/>
            </w:tcBorders>
            <w:shd w:val="clear" w:color="auto" w:fill="FDE9D9" w:themeFill="accent6" w:themeFillTint="33"/>
            <w:vAlign w:val="bottom"/>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P</w:t>
            </w:r>
          </w:p>
        </w:tc>
      </w:tr>
      <w:tr w:rsidR="005F14B5" w:rsidRPr="00774BCB" w:rsidTr="005F14B5">
        <w:trPr>
          <w:trHeight w:val="395"/>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 xml:space="preserve">Total average </w:t>
            </w:r>
            <w:proofErr w:type="spellStart"/>
            <w:r w:rsidRPr="00774BCB">
              <w:rPr>
                <w:rFonts w:ascii="Arial" w:hAnsi="Arial" w:cs="Arial"/>
                <w:b/>
                <w:bCs/>
                <w:color w:val="000000"/>
                <w:sz w:val="18"/>
                <w:szCs w:val="18"/>
              </w:rPr>
              <w:t>p.RNFL</w:t>
            </w:r>
            <w:proofErr w:type="spellEnd"/>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0.715</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-0.504</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&lt;0.001</w:t>
            </w:r>
          </w:p>
        </w:tc>
      </w:tr>
      <w:tr w:rsidR="005F14B5" w:rsidRPr="00774BCB" w:rsidTr="005F14B5">
        <w:trPr>
          <w:trHeight w:val="414"/>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 xml:space="preserve">Inferior </w:t>
            </w:r>
            <w:proofErr w:type="spellStart"/>
            <w:r w:rsidRPr="00774BCB">
              <w:rPr>
                <w:rFonts w:ascii="Arial" w:hAnsi="Arial" w:cs="Arial"/>
                <w:b/>
                <w:bCs/>
                <w:color w:val="000000"/>
                <w:sz w:val="18"/>
                <w:szCs w:val="18"/>
              </w:rPr>
              <w:t>p.RNFL</w:t>
            </w:r>
            <w:proofErr w:type="spellEnd"/>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0.685</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-0.536</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&lt;0.001</w:t>
            </w:r>
          </w:p>
        </w:tc>
      </w:tr>
      <w:tr w:rsidR="005F14B5" w:rsidRPr="00774BCB" w:rsidTr="005F14B5">
        <w:trPr>
          <w:trHeight w:val="406"/>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 xml:space="preserve">Superior </w:t>
            </w:r>
            <w:proofErr w:type="spellStart"/>
            <w:r w:rsidRPr="00774BCB">
              <w:rPr>
                <w:rFonts w:ascii="Arial" w:hAnsi="Arial" w:cs="Arial"/>
                <w:b/>
                <w:bCs/>
                <w:color w:val="000000"/>
                <w:sz w:val="18"/>
                <w:szCs w:val="18"/>
              </w:rPr>
              <w:t>p.RNFL</w:t>
            </w:r>
            <w:proofErr w:type="spellEnd"/>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0.681</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-0.458</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&lt;0.001</w:t>
            </w:r>
          </w:p>
        </w:tc>
      </w:tr>
      <w:tr w:rsidR="005F14B5" w:rsidRPr="00774BCB" w:rsidTr="005F14B5">
        <w:trPr>
          <w:trHeight w:val="300"/>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 xml:space="preserve">Nasal </w:t>
            </w:r>
            <w:proofErr w:type="spellStart"/>
            <w:r w:rsidRPr="00774BCB">
              <w:rPr>
                <w:rFonts w:ascii="Arial" w:hAnsi="Arial" w:cs="Arial"/>
                <w:b/>
                <w:bCs/>
                <w:color w:val="000000"/>
                <w:sz w:val="18"/>
                <w:szCs w:val="18"/>
              </w:rPr>
              <w:t>p.RNFL</w:t>
            </w:r>
            <w:proofErr w:type="spellEnd"/>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0.580</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-0.389</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&lt;0.001</w:t>
            </w:r>
          </w:p>
        </w:tc>
      </w:tr>
      <w:tr w:rsidR="005F14B5" w:rsidRPr="00774BCB" w:rsidTr="005F14B5">
        <w:trPr>
          <w:trHeight w:val="443"/>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 xml:space="preserve">Temporal. </w:t>
            </w:r>
            <w:proofErr w:type="spellStart"/>
            <w:r w:rsidRPr="00774BCB">
              <w:rPr>
                <w:rFonts w:ascii="Arial" w:hAnsi="Arial" w:cs="Arial"/>
                <w:b/>
                <w:bCs/>
                <w:color w:val="000000"/>
                <w:sz w:val="18"/>
                <w:szCs w:val="18"/>
              </w:rPr>
              <w:t>p.RNFL</w:t>
            </w:r>
            <w:proofErr w:type="spellEnd"/>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0.567</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b/>
                <w:bCs/>
                <w:color w:val="000000"/>
                <w:sz w:val="18"/>
                <w:szCs w:val="18"/>
              </w:rPr>
            </w:pPr>
            <w:r w:rsidRPr="00995268">
              <w:rPr>
                <w:rFonts w:ascii="Arial" w:hAnsi="Arial" w:cs="Arial"/>
                <w:b/>
                <w:bCs/>
                <w:color w:val="000000"/>
                <w:sz w:val="18"/>
                <w:szCs w:val="18"/>
              </w:rPr>
              <w:t>-0.343</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b/>
                <w:bCs/>
                <w:color w:val="000000"/>
                <w:sz w:val="18"/>
                <w:szCs w:val="18"/>
              </w:rPr>
            </w:pPr>
            <w:r w:rsidRPr="00C116CB">
              <w:rPr>
                <w:rFonts w:ascii="Arial" w:hAnsi="Arial" w:cs="Arial"/>
                <w:b/>
                <w:bCs/>
                <w:color w:val="000000"/>
                <w:sz w:val="18"/>
                <w:szCs w:val="18"/>
              </w:rPr>
              <w:t>0.001</w:t>
            </w:r>
          </w:p>
        </w:tc>
      </w:tr>
      <w:tr w:rsidR="005F14B5" w:rsidRPr="00774BCB" w:rsidTr="005F14B5">
        <w:trPr>
          <w:trHeight w:val="405"/>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Disc area</w:t>
            </w:r>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0.215</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0.035</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0.207</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0.043</w:t>
            </w:r>
          </w:p>
        </w:tc>
      </w:tr>
      <w:tr w:rsidR="005F14B5" w:rsidRPr="00774BCB" w:rsidTr="005F14B5">
        <w:trPr>
          <w:trHeight w:val="359"/>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Cup area</w:t>
            </w:r>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0.443</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0.321</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0.001</w:t>
            </w:r>
          </w:p>
        </w:tc>
      </w:tr>
      <w:tr w:rsidR="005F14B5" w:rsidRPr="00774BCB" w:rsidTr="005F14B5">
        <w:trPr>
          <w:trHeight w:val="300"/>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Rim area</w:t>
            </w:r>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0.296</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0.003</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-0.152</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0.139</w:t>
            </w:r>
          </w:p>
        </w:tc>
      </w:tr>
      <w:tr w:rsidR="005F14B5" w:rsidRPr="00774BCB" w:rsidTr="005F14B5">
        <w:trPr>
          <w:trHeight w:val="382"/>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C/D area ratio</w:t>
            </w:r>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0.421</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0.283</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0.005</w:t>
            </w:r>
          </w:p>
        </w:tc>
      </w:tr>
      <w:tr w:rsidR="005F14B5" w:rsidRPr="00774BCB" w:rsidTr="005F14B5">
        <w:trPr>
          <w:trHeight w:val="417"/>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Linear CDR</w:t>
            </w:r>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0.451</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0.321</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0.001</w:t>
            </w:r>
          </w:p>
        </w:tc>
      </w:tr>
      <w:tr w:rsidR="005F14B5" w:rsidRPr="00774BCB" w:rsidTr="005F14B5">
        <w:trPr>
          <w:trHeight w:val="423"/>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Vertical CDR</w:t>
            </w:r>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0.479</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0.400</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&lt;0.001</w:t>
            </w:r>
          </w:p>
        </w:tc>
      </w:tr>
      <w:tr w:rsidR="005F14B5" w:rsidRPr="00774BCB" w:rsidTr="005F14B5">
        <w:trPr>
          <w:trHeight w:val="414"/>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proofErr w:type="spellStart"/>
            <w:r w:rsidRPr="00774BCB">
              <w:rPr>
                <w:rFonts w:ascii="Arial" w:hAnsi="Arial" w:cs="Arial"/>
                <w:b/>
                <w:bCs/>
                <w:color w:val="000000"/>
                <w:sz w:val="18"/>
                <w:szCs w:val="18"/>
              </w:rPr>
              <w:t>Cupvolume</w:t>
            </w:r>
            <w:proofErr w:type="spellEnd"/>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0.307</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0.002</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0.156</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0.130</w:t>
            </w:r>
          </w:p>
        </w:tc>
      </w:tr>
      <w:tr w:rsidR="005F14B5" w:rsidRPr="00774BCB" w:rsidTr="005F14B5">
        <w:trPr>
          <w:trHeight w:val="421"/>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Rim volume</w:t>
            </w:r>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0.283</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0.005</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-0.149</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0.147</w:t>
            </w:r>
          </w:p>
        </w:tc>
      </w:tr>
      <w:tr w:rsidR="005F14B5" w:rsidRPr="00774BCB" w:rsidTr="005F14B5">
        <w:trPr>
          <w:trHeight w:val="413"/>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Horizontal DD</w:t>
            </w:r>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0.211</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0.039</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0.147</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0.152</w:t>
            </w:r>
          </w:p>
        </w:tc>
      </w:tr>
      <w:tr w:rsidR="005F14B5" w:rsidRPr="00774BCB" w:rsidTr="005F14B5">
        <w:trPr>
          <w:trHeight w:val="419"/>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Vertical DD</w:t>
            </w:r>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0.114</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0.269</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0.122</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995268" w:rsidRDefault="005F14B5" w:rsidP="005F14B5">
            <w:pPr>
              <w:bidi w:val="0"/>
              <w:spacing w:line="360" w:lineRule="auto"/>
              <w:jc w:val="center"/>
              <w:rPr>
                <w:rFonts w:ascii="Arial" w:hAnsi="Arial" w:cs="Arial"/>
                <w:color w:val="000000"/>
                <w:sz w:val="18"/>
                <w:szCs w:val="18"/>
              </w:rPr>
            </w:pPr>
            <w:r>
              <w:rPr>
                <w:rFonts w:ascii="Arial" w:hAnsi="Arial" w:cs="Arial"/>
                <w:color w:val="000000"/>
                <w:sz w:val="18"/>
                <w:szCs w:val="18"/>
              </w:rPr>
              <w:t>0.235</w:t>
            </w:r>
          </w:p>
        </w:tc>
      </w:tr>
      <w:tr w:rsidR="005F14B5" w:rsidRPr="00774BCB" w:rsidTr="005F14B5">
        <w:trPr>
          <w:trHeight w:val="410"/>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 xml:space="preserve">Superior </w:t>
            </w:r>
            <w:proofErr w:type="spellStart"/>
            <w:r w:rsidRPr="00774BCB">
              <w:rPr>
                <w:rFonts w:ascii="Arial" w:hAnsi="Arial" w:cs="Arial"/>
                <w:b/>
                <w:bCs/>
                <w:color w:val="000000"/>
                <w:sz w:val="18"/>
                <w:szCs w:val="18"/>
              </w:rPr>
              <w:t>m.RNFL</w:t>
            </w:r>
            <w:proofErr w:type="spellEnd"/>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0.641</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-0.226</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0.027</w:t>
            </w:r>
          </w:p>
        </w:tc>
      </w:tr>
      <w:tr w:rsidR="005F14B5" w:rsidRPr="00774BCB" w:rsidTr="005F14B5">
        <w:trPr>
          <w:trHeight w:val="417"/>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 xml:space="preserve">Inferior </w:t>
            </w:r>
            <w:proofErr w:type="spellStart"/>
            <w:r w:rsidRPr="00774BCB">
              <w:rPr>
                <w:rFonts w:ascii="Arial" w:hAnsi="Arial" w:cs="Arial"/>
                <w:b/>
                <w:bCs/>
                <w:color w:val="000000"/>
                <w:sz w:val="18"/>
                <w:szCs w:val="18"/>
              </w:rPr>
              <w:t>m.RNFL</w:t>
            </w:r>
            <w:proofErr w:type="spellEnd"/>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0.519</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-0.312</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0.002</w:t>
            </w:r>
          </w:p>
        </w:tc>
      </w:tr>
      <w:tr w:rsidR="005F14B5" w:rsidRPr="00774BCB" w:rsidTr="005F14B5">
        <w:trPr>
          <w:trHeight w:val="409"/>
          <w:jc w:val="center"/>
        </w:trPr>
        <w:tc>
          <w:tcPr>
            <w:tcW w:w="2324" w:type="dxa"/>
            <w:tcBorders>
              <w:top w:val="nil"/>
              <w:left w:val="single" w:sz="4" w:space="0" w:color="auto"/>
              <w:bottom w:val="single" w:sz="4" w:space="0" w:color="auto"/>
              <w:right w:val="single" w:sz="4" w:space="0" w:color="auto"/>
            </w:tcBorders>
            <w:shd w:val="clear" w:color="auto" w:fill="auto"/>
            <w:hideMark/>
          </w:tcPr>
          <w:p w:rsidR="005F14B5" w:rsidRPr="00774BCB" w:rsidRDefault="005F14B5" w:rsidP="005F14B5">
            <w:pPr>
              <w:bidi w:val="0"/>
              <w:spacing w:line="360" w:lineRule="auto"/>
              <w:jc w:val="center"/>
              <w:rPr>
                <w:rFonts w:ascii="Arial" w:hAnsi="Arial" w:cs="Arial"/>
                <w:b/>
                <w:bCs/>
                <w:color w:val="000000"/>
                <w:sz w:val="18"/>
                <w:szCs w:val="18"/>
              </w:rPr>
            </w:pPr>
            <w:r w:rsidRPr="00774BCB">
              <w:rPr>
                <w:rFonts w:ascii="Arial" w:hAnsi="Arial" w:cs="Arial"/>
                <w:b/>
                <w:bCs/>
                <w:color w:val="000000"/>
                <w:sz w:val="18"/>
                <w:szCs w:val="18"/>
              </w:rPr>
              <w:t xml:space="preserve">Total </w:t>
            </w:r>
            <w:proofErr w:type="spellStart"/>
            <w:r w:rsidRPr="00774BCB">
              <w:rPr>
                <w:rFonts w:ascii="Arial" w:hAnsi="Arial" w:cs="Arial"/>
                <w:b/>
                <w:bCs/>
                <w:color w:val="000000"/>
                <w:sz w:val="18"/>
                <w:szCs w:val="18"/>
              </w:rPr>
              <w:t>m.RNFL</w:t>
            </w:r>
            <w:proofErr w:type="spellEnd"/>
          </w:p>
        </w:tc>
        <w:tc>
          <w:tcPr>
            <w:tcW w:w="75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0.621</w:t>
            </w:r>
          </w:p>
        </w:tc>
        <w:tc>
          <w:tcPr>
            <w:tcW w:w="772" w:type="dxa"/>
            <w:tcBorders>
              <w:top w:val="nil"/>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&lt;0.001</w:t>
            </w:r>
          </w:p>
        </w:tc>
        <w:tc>
          <w:tcPr>
            <w:tcW w:w="849" w:type="dxa"/>
            <w:tcBorders>
              <w:top w:val="nil"/>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sidRPr="00035186">
              <w:rPr>
                <w:rFonts w:ascii="Arial" w:hAnsi="Arial" w:cs="Arial"/>
                <w:b/>
                <w:bCs/>
                <w:color w:val="000000"/>
                <w:sz w:val="18"/>
                <w:szCs w:val="18"/>
              </w:rPr>
              <w:t>-0.307</w:t>
            </w:r>
          </w:p>
        </w:tc>
        <w:tc>
          <w:tcPr>
            <w:tcW w:w="971" w:type="dxa"/>
            <w:tcBorders>
              <w:top w:val="nil"/>
              <w:left w:val="nil"/>
              <w:bottom w:val="single" w:sz="4" w:space="0" w:color="auto"/>
              <w:right w:val="single" w:sz="4" w:space="0" w:color="auto"/>
            </w:tcBorders>
            <w:shd w:val="clear" w:color="auto" w:fill="FDE9D9" w:themeFill="accent6" w:themeFillTint="33"/>
            <w:noWrap/>
            <w:vAlign w:val="center"/>
          </w:tcPr>
          <w:p w:rsidR="005F14B5" w:rsidRPr="00C116CB" w:rsidRDefault="005F14B5" w:rsidP="005F14B5">
            <w:pPr>
              <w:bidi w:val="0"/>
              <w:spacing w:line="360" w:lineRule="auto"/>
              <w:jc w:val="center"/>
              <w:rPr>
                <w:rFonts w:ascii="Arial" w:hAnsi="Arial" w:cs="Arial"/>
                <w:color w:val="000000"/>
                <w:sz w:val="18"/>
                <w:szCs w:val="18"/>
              </w:rPr>
            </w:pPr>
            <w:r w:rsidRPr="00C116CB">
              <w:rPr>
                <w:rFonts w:ascii="Arial" w:hAnsi="Arial" w:cs="Arial"/>
                <w:color w:val="000000"/>
                <w:sz w:val="18"/>
                <w:szCs w:val="18"/>
              </w:rPr>
              <w:t>0.002</w:t>
            </w:r>
          </w:p>
        </w:tc>
      </w:tr>
      <w:tr w:rsidR="005F14B5" w:rsidRPr="00774BCB" w:rsidTr="005F14B5">
        <w:trPr>
          <w:trHeight w:val="415"/>
          <w:jc w:val="center"/>
        </w:trPr>
        <w:tc>
          <w:tcPr>
            <w:tcW w:w="2324" w:type="dxa"/>
            <w:tcBorders>
              <w:top w:val="single" w:sz="4" w:space="0" w:color="auto"/>
              <w:left w:val="single" w:sz="4" w:space="0" w:color="auto"/>
              <w:bottom w:val="single" w:sz="4" w:space="0" w:color="auto"/>
              <w:right w:val="single" w:sz="4" w:space="0" w:color="auto"/>
            </w:tcBorders>
            <w:shd w:val="clear" w:color="auto" w:fill="auto"/>
          </w:tcPr>
          <w:p w:rsidR="005F14B5" w:rsidRPr="00774BCB"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Superior GCL+</w:t>
            </w:r>
          </w:p>
        </w:tc>
        <w:tc>
          <w:tcPr>
            <w:tcW w:w="75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0.598</w:t>
            </w:r>
          </w:p>
        </w:tc>
        <w:tc>
          <w:tcPr>
            <w:tcW w:w="772"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c>
          <w:tcPr>
            <w:tcW w:w="84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-0.366</w:t>
            </w:r>
          </w:p>
        </w:tc>
        <w:tc>
          <w:tcPr>
            <w:tcW w:w="971"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r>
      <w:tr w:rsidR="005F14B5" w:rsidRPr="00774BCB" w:rsidTr="005F14B5">
        <w:trPr>
          <w:trHeight w:val="406"/>
          <w:jc w:val="center"/>
        </w:trPr>
        <w:tc>
          <w:tcPr>
            <w:tcW w:w="2324" w:type="dxa"/>
            <w:tcBorders>
              <w:top w:val="single" w:sz="4" w:space="0" w:color="auto"/>
              <w:left w:val="single" w:sz="4" w:space="0" w:color="auto"/>
              <w:bottom w:val="single" w:sz="4" w:space="0" w:color="auto"/>
              <w:right w:val="single" w:sz="4" w:space="0" w:color="auto"/>
            </w:tcBorders>
            <w:shd w:val="clear" w:color="auto" w:fill="auto"/>
          </w:tcPr>
          <w:p w:rsidR="005F14B5" w:rsidRPr="00774BCB"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Inferior GCL+</w:t>
            </w:r>
          </w:p>
        </w:tc>
        <w:tc>
          <w:tcPr>
            <w:tcW w:w="75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0.585</w:t>
            </w:r>
          </w:p>
        </w:tc>
        <w:tc>
          <w:tcPr>
            <w:tcW w:w="772"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c>
          <w:tcPr>
            <w:tcW w:w="84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-0.376</w:t>
            </w:r>
          </w:p>
        </w:tc>
        <w:tc>
          <w:tcPr>
            <w:tcW w:w="971"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r>
      <w:tr w:rsidR="005F14B5" w:rsidRPr="00774BCB" w:rsidTr="005F14B5">
        <w:trPr>
          <w:trHeight w:val="427"/>
          <w:jc w:val="center"/>
        </w:trPr>
        <w:tc>
          <w:tcPr>
            <w:tcW w:w="2324" w:type="dxa"/>
            <w:tcBorders>
              <w:top w:val="single" w:sz="4" w:space="0" w:color="auto"/>
              <w:left w:val="single" w:sz="4" w:space="0" w:color="auto"/>
              <w:bottom w:val="single" w:sz="4" w:space="0" w:color="auto"/>
              <w:right w:val="single" w:sz="4" w:space="0" w:color="auto"/>
            </w:tcBorders>
            <w:shd w:val="clear" w:color="auto" w:fill="auto"/>
          </w:tcPr>
          <w:p w:rsidR="005F14B5" w:rsidRPr="00774BCB"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Total GCL+</w:t>
            </w:r>
          </w:p>
        </w:tc>
        <w:tc>
          <w:tcPr>
            <w:tcW w:w="75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0.624</w:t>
            </w:r>
          </w:p>
        </w:tc>
        <w:tc>
          <w:tcPr>
            <w:tcW w:w="772"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c>
          <w:tcPr>
            <w:tcW w:w="84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-0.390</w:t>
            </w:r>
          </w:p>
        </w:tc>
        <w:tc>
          <w:tcPr>
            <w:tcW w:w="971"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r>
      <w:tr w:rsidR="005F14B5" w:rsidRPr="00774BCB" w:rsidTr="005F14B5">
        <w:trPr>
          <w:trHeight w:val="463"/>
          <w:jc w:val="center"/>
        </w:trPr>
        <w:tc>
          <w:tcPr>
            <w:tcW w:w="2324" w:type="dxa"/>
            <w:tcBorders>
              <w:top w:val="single" w:sz="4" w:space="0" w:color="auto"/>
              <w:left w:val="single" w:sz="4" w:space="0" w:color="auto"/>
              <w:bottom w:val="single" w:sz="4" w:space="0" w:color="auto"/>
              <w:right w:val="single" w:sz="4" w:space="0" w:color="auto"/>
            </w:tcBorders>
            <w:shd w:val="clear" w:color="auto" w:fill="auto"/>
          </w:tcPr>
          <w:p w:rsidR="005F14B5" w:rsidRPr="00774BCB"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Superior GCL++</w:t>
            </w:r>
          </w:p>
        </w:tc>
        <w:tc>
          <w:tcPr>
            <w:tcW w:w="75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0.664</w:t>
            </w:r>
          </w:p>
        </w:tc>
        <w:tc>
          <w:tcPr>
            <w:tcW w:w="772"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c>
          <w:tcPr>
            <w:tcW w:w="84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-0.345</w:t>
            </w:r>
          </w:p>
        </w:tc>
        <w:tc>
          <w:tcPr>
            <w:tcW w:w="971"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0.001</w:t>
            </w:r>
          </w:p>
        </w:tc>
      </w:tr>
      <w:tr w:rsidR="005F14B5" w:rsidRPr="00774BCB" w:rsidTr="005F14B5">
        <w:trPr>
          <w:trHeight w:val="566"/>
          <w:jc w:val="center"/>
        </w:trPr>
        <w:tc>
          <w:tcPr>
            <w:tcW w:w="2324" w:type="dxa"/>
            <w:tcBorders>
              <w:top w:val="single" w:sz="4" w:space="0" w:color="auto"/>
              <w:left w:val="single" w:sz="4" w:space="0" w:color="auto"/>
              <w:bottom w:val="single" w:sz="4" w:space="0" w:color="auto"/>
              <w:right w:val="single" w:sz="4" w:space="0" w:color="auto"/>
            </w:tcBorders>
            <w:shd w:val="clear" w:color="auto" w:fill="auto"/>
          </w:tcPr>
          <w:p w:rsidR="005F14B5" w:rsidRPr="00774BCB"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Inferior GCL++</w:t>
            </w:r>
          </w:p>
        </w:tc>
        <w:tc>
          <w:tcPr>
            <w:tcW w:w="75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0.593</w:t>
            </w:r>
          </w:p>
        </w:tc>
        <w:tc>
          <w:tcPr>
            <w:tcW w:w="772"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c>
          <w:tcPr>
            <w:tcW w:w="84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-0.357</w:t>
            </w:r>
          </w:p>
        </w:tc>
        <w:tc>
          <w:tcPr>
            <w:tcW w:w="971"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r>
      <w:tr w:rsidR="005F14B5" w:rsidRPr="00774BCB" w:rsidTr="005F14B5">
        <w:trPr>
          <w:trHeight w:val="646"/>
          <w:jc w:val="center"/>
        </w:trPr>
        <w:tc>
          <w:tcPr>
            <w:tcW w:w="2324" w:type="dxa"/>
            <w:tcBorders>
              <w:top w:val="single" w:sz="4" w:space="0" w:color="auto"/>
              <w:left w:val="single" w:sz="4" w:space="0" w:color="auto"/>
              <w:bottom w:val="single" w:sz="4" w:space="0" w:color="auto"/>
              <w:right w:val="single" w:sz="4" w:space="0" w:color="auto"/>
            </w:tcBorders>
            <w:shd w:val="clear" w:color="auto" w:fill="auto"/>
          </w:tcPr>
          <w:p w:rsidR="005F14B5" w:rsidRPr="00774BCB"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Total GCL++</w:t>
            </w:r>
          </w:p>
        </w:tc>
        <w:tc>
          <w:tcPr>
            <w:tcW w:w="75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0.663</w:t>
            </w:r>
          </w:p>
        </w:tc>
        <w:tc>
          <w:tcPr>
            <w:tcW w:w="772"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c>
          <w:tcPr>
            <w:tcW w:w="849" w:type="dxa"/>
            <w:tcBorders>
              <w:top w:val="single" w:sz="4" w:space="0" w:color="auto"/>
              <w:left w:val="nil"/>
              <w:bottom w:val="single" w:sz="4" w:space="0" w:color="auto"/>
              <w:right w:val="single" w:sz="4" w:space="0" w:color="auto"/>
            </w:tcBorders>
            <w:shd w:val="clear" w:color="auto" w:fill="DDD9C3" w:themeFill="background2" w:themeFillShade="E6"/>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-0.378</w:t>
            </w:r>
          </w:p>
        </w:tc>
        <w:tc>
          <w:tcPr>
            <w:tcW w:w="971" w:type="dxa"/>
            <w:tcBorders>
              <w:top w:val="single" w:sz="4" w:space="0" w:color="auto"/>
              <w:left w:val="nil"/>
              <w:bottom w:val="single" w:sz="4" w:space="0" w:color="auto"/>
              <w:right w:val="single" w:sz="4" w:space="0" w:color="auto"/>
            </w:tcBorders>
            <w:shd w:val="clear" w:color="auto" w:fill="FDE9D9" w:themeFill="accent6" w:themeFillTint="33"/>
            <w:noWrap/>
            <w:vAlign w:val="center"/>
          </w:tcPr>
          <w:p w:rsidR="005F14B5" w:rsidRPr="00035186" w:rsidRDefault="005F14B5" w:rsidP="005F14B5">
            <w:pPr>
              <w:bidi w:val="0"/>
              <w:spacing w:line="360" w:lineRule="auto"/>
              <w:jc w:val="center"/>
              <w:rPr>
                <w:rFonts w:ascii="Arial" w:hAnsi="Arial" w:cs="Arial"/>
                <w:b/>
                <w:bCs/>
                <w:color w:val="000000"/>
                <w:sz w:val="18"/>
                <w:szCs w:val="18"/>
              </w:rPr>
            </w:pPr>
            <w:r>
              <w:rPr>
                <w:rFonts w:ascii="Arial" w:hAnsi="Arial" w:cs="Arial"/>
                <w:b/>
                <w:bCs/>
                <w:color w:val="000000"/>
                <w:sz w:val="18"/>
                <w:szCs w:val="18"/>
              </w:rPr>
              <w:t>&lt;0.001</w:t>
            </w:r>
          </w:p>
        </w:tc>
      </w:tr>
    </w:tbl>
    <w:p w:rsidR="00CA164D" w:rsidRPr="00386ADD" w:rsidRDefault="005F14B5" w:rsidP="00386ADD">
      <w:pPr>
        <w:bidi w:val="0"/>
        <w:rPr>
          <w:rFonts w:hint="cs"/>
          <w:color w:val="000000"/>
          <w:sz w:val="44"/>
          <w:szCs w:val="44"/>
          <w:lang w:bidi="ar-EG"/>
        </w:rPr>
      </w:pPr>
      <w:r>
        <w:rPr>
          <w:color w:val="000000"/>
          <w:sz w:val="44"/>
          <w:szCs w:val="44"/>
          <w:lang w:bidi="ar-EG"/>
        </w:rPr>
        <w:br w:type="page"/>
      </w:r>
    </w:p>
    <w:p w:rsidR="00CA164D" w:rsidRPr="00CA164D" w:rsidRDefault="00CA164D" w:rsidP="00386ADD">
      <w:pPr>
        <w:jc w:val="center"/>
        <w:rPr>
          <w:noProof/>
          <w:color w:val="000000"/>
          <w:sz w:val="24"/>
          <w:szCs w:val="24"/>
          <w:rtl/>
          <w:lang w:bidi="ar-EG"/>
        </w:rPr>
      </w:pPr>
      <w:r>
        <w:rPr>
          <w:color w:val="000000"/>
          <w:sz w:val="24"/>
          <w:szCs w:val="24"/>
          <w:lang w:bidi="ar-EG"/>
        </w:rPr>
        <w:lastRenderedPageBreak/>
        <w:t>Table (</w:t>
      </w:r>
      <w:r w:rsidR="00386ADD">
        <w:rPr>
          <w:color w:val="000000"/>
          <w:sz w:val="24"/>
          <w:szCs w:val="24"/>
          <w:lang w:bidi="ar-EG"/>
        </w:rPr>
        <w:t>2</w:t>
      </w:r>
      <w:r w:rsidRPr="00CA164D">
        <w:rPr>
          <w:color w:val="000000"/>
          <w:sz w:val="24"/>
          <w:szCs w:val="24"/>
          <w:lang w:bidi="ar-EG"/>
        </w:rPr>
        <w:t xml:space="preserve">) show AUC </w:t>
      </w:r>
      <w:r w:rsidRPr="00CA164D">
        <w:rPr>
          <w:sz w:val="24"/>
          <w:szCs w:val="24"/>
        </w:rPr>
        <w:t>to differentiate cases from controls</w:t>
      </w:r>
    </w:p>
    <w:tbl>
      <w:tblPr>
        <w:tblW w:w="8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28"/>
        <w:gridCol w:w="1029"/>
        <w:gridCol w:w="1169"/>
        <w:gridCol w:w="1476"/>
        <w:gridCol w:w="1476"/>
        <w:gridCol w:w="1476"/>
      </w:tblGrid>
      <w:tr w:rsidR="00CA164D" w:rsidRPr="007D69B4" w:rsidTr="00536115">
        <w:trPr>
          <w:cantSplit/>
        </w:trPr>
        <w:tc>
          <w:tcPr>
            <w:tcW w:w="2228" w:type="dxa"/>
            <w:vMerge w:val="restart"/>
            <w:tcBorders>
              <w:top w:val="single" w:sz="16" w:space="0" w:color="000000"/>
              <w:left w:val="single" w:sz="16" w:space="0" w:color="000000"/>
              <w:bottom w:val="nil"/>
              <w:right w:val="single" w:sz="16" w:space="0" w:color="000000"/>
            </w:tcBorders>
            <w:shd w:val="clear" w:color="auto" w:fill="FFFFFF"/>
            <w:vAlign w:val="bottom"/>
          </w:tcPr>
          <w:p w:rsidR="00CA164D" w:rsidRPr="007D69B4"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7D69B4">
              <w:rPr>
                <w:rFonts w:ascii="Arial" w:hAnsi="Arial" w:cs="Arial"/>
                <w:color w:val="000000"/>
                <w:sz w:val="18"/>
                <w:szCs w:val="18"/>
              </w:rPr>
              <w:t>Test Result Variable(s)</w:t>
            </w:r>
          </w:p>
        </w:tc>
        <w:tc>
          <w:tcPr>
            <w:tcW w:w="1029" w:type="dxa"/>
            <w:vMerge w:val="restart"/>
            <w:tcBorders>
              <w:top w:val="single" w:sz="16" w:space="0" w:color="000000"/>
              <w:left w:val="single" w:sz="16" w:space="0" w:color="000000"/>
            </w:tcBorders>
            <w:shd w:val="clear" w:color="auto" w:fill="EEECE1" w:themeFill="background2"/>
            <w:vAlign w:val="bottom"/>
          </w:tcPr>
          <w:p w:rsidR="00CA164D" w:rsidRPr="007D69B4" w:rsidRDefault="00CA164D" w:rsidP="00536115">
            <w:pPr>
              <w:autoSpaceDE w:val="0"/>
              <w:autoSpaceDN w:val="0"/>
              <w:bidi w:val="0"/>
              <w:adjustRightInd w:val="0"/>
              <w:spacing w:line="320" w:lineRule="atLeast"/>
              <w:ind w:left="60" w:right="60"/>
              <w:jc w:val="center"/>
              <w:rPr>
                <w:rFonts w:ascii="Arial" w:hAnsi="Arial" w:cs="Arial"/>
                <w:color w:val="000000"/>
                <w:sz w:val="18"/>
                <w:szCs w:val="18"/>
              </w:rPr>
            </w:pPr>
            <w:r w:rsidRPr="007D69B4">
              <w:rPr>
                <w:rFonts w:ascii="Arial" w:hAnsi="Arial" w:cs="Arial"/>
                <w:color w:val="000000"/>
                <w:sz w:val="18"/>
                <w:szCs w:val="18"/>
              </w:rPr>
              <w:t>Area</w:t>
            </w:r>
          </w:p>
        </w:tc>
        <w:tc>
          <w:tcPr>
            <w:tcW w:w="1169" w:type="dxa"/>
            <w:vMerge w:val="restart"/>
            <w:tcBorders>
              <w:top w:val="single" w:sz="16" w:space="0" w:color="000000"/>
            </w:tcBorders>
            <w:shd w:val="clear" w:color="auto" w:fill="EEECE1" w:themeFill="background2"/>
            <w:vAlign w:val="bottom"/>
          </w:tcPr>
          <w:p w:rsidR="00CA164D" w:rsidRPr="007D69B4" w:rsidRDefault="00CA164D" w:rsidP="00536115">
            <w:pPr>
              <w:autoSpaceDE w:val="0"/>
              <w:autoSpaceDN w:val="0"/>
              <w:bidi w:val="0"/>
              <w:adjustRightInd w:val="0"/>
              <w:spacing w:line="320" w:lineRule="atLeast"/>
              <w:ind w:left="60" w:right="60"/>
              <w:jc w:val="center"/>
              <w:rPr>
                <w:rFonts w:ascii="Arial" w:hAnsi="Arial" w:cs="Arial"/>
                <w:color w:val="000000"/>
                <w:sz w:val="18"/>
                <w:szCs w:val="18"/>
              </w:rPr>
            </w:pPr>
            <w:r w:rsidRPr="007D69B4">
              <w:rPr>
                <w:rFonts w:ascii="Arial" w:hAnsi="Arial" w:cs="Arial"/>
                <w:color w:val="000000"/>
                <w:sz w:val="18"/>
                <w:szCs w:val="18"/>
              </w:rPr>
              <w:t>Std. Error</w:t>
            </w:r>
          </w:p>
        </w:tc>
        <w:tc>
          <w:tcPr>
            <w:tcW w:w="1476" w:type="dxa"/>
            <w:vMerge w:val="restart"/>
            <w:tcBorders>
              <w:top w:val="single" w:sz="16" w:space="0" w:color="000000"/>
            </w:tcBorders>
            <w:shd w:val="clear" w:color="auto" w:fill="FBD4B4" w:themeFill="accent6" w:themeFillTint="66"/>
            <w:vAlign w:val="bottom"/>
          </w:tcPr>
          <w:p w:rsidR="00CA164D" w:rsidRPr="007D69B4" w:rsidRDefault="00CA164D" w:rsidP="00536115">
            <w:pPr>
              <w:autoSpaceDE w:val="0"/>
              <w:autoSpaceDN w:val="0"/>
              <w:bidi w:val="0"/>
              <w:adjustRightInd w:val="0"/>
              <w:spacing w:line="320" w:lineRule="atLeast"/>
              <w:ind w:left="60" w:right="60"/>
              <w:jc w:val="center"/>
              <w:rPr>
                <w:rFonts w:ascii="Arial" w:hAnsi="Arial" w:cs="Arial"/>
                <w:color w:val="000000"/>
                <w:sz w:val="18"/>
                <w:szCs w:val="18"/>
              </w:rPr>
            </w:pPr>
            <w:r>
              <w:rPr>
                <w:rFonts w:ascii="Arial" w:hAnsi="Arial" w:cs="Arial"/>
                <w:color w:val="000000"/>
                <w:sz w:val="18"/>
                <w:szCs w:val="18"/>
              </w:rPr>
              <w:t>P value</w:t>
            </w:r>
          </w:p>
        </w:tc>
        <w:tc>
          <w:tcPr>
            <w:tcW w:w="2952" w:type="dxa"/>
            <w:gridSpan w:val="2"/>
            <w:tcBorders>
              <w:top w:val="single" w:sz="16" w:space="0" w:color="000000"/>
              <w:right w:val="single" w:sz="16" w:space="0" w:color="000000"/>
            </w:tcBorders>
            <w:shd w:val="clear" w:color="auto" w:fill="EEECE1" w:themeFill="background2"/>
            <w:vAlign w:val="bottom"/>
          </w:tcPr>
          <w:p w:rsidR="00CA164D" w:rsidRPr="007D69B4" w:rsidRDefault="00CA164D" w:rsidP="00536115">
            <w:pPr>
              <w:autoSpaceDE w:val="0"/>
              <w:autoSpaceDN w:val="0"/>
              <w:bidi w:val="0"/>
              <w:adjustRightInd w:val="0"/>
              <w:spacing w:line="320" w:lineRule="atLeast"/>
              <w:ind w:left="60" w:right="60"/>
              <w:jc w:val="center"/>
              <w:rPr>
                <w:rFonts w:ascii="Arial" w:hAnsi="Arial" w:cs="Arial"/>
                <w:color w:val="000000"/>
                <w:sz w:val="18"/>
                <w:szCs w:val="18"/>
              </w:rPr>
            </w:pPr>
            <w:r w:rsidRPr="007D69B4">
              <w:rPr>
                <w:rFonts w:ascii="Arial" w:hAnsi="Arial" w:cs="Arial"/>
                <w:color w:val="000000"/>
                <w:sz w:val="18"/>
                <w:szCs w:val="18"/>
              </w:rPr>
              <w:t>Asymptotic 95% Confidence Interval</w:t>
            </w:r>
          </w:p>
        </w:tc>
      </w:tr>
      <w:tr w:rsidR="00CA164D" w:rsidRPr="007D69B4" w:rsidTr="00536115">
        <w:trPr>
          <w:cantSplit/>
        </w:trPr>
        <w:tc>
          <w:tcPr>
            <w:tcW w:w="2228" w:type="dxa"/>
            <w:vMerge/>
            <w:tcBorders>
              <w:top w:val="single" w:sz="16" w:space="0" w:color="000000"/>
              <w:left w:val="single" w:sz="16" w:space="0" w:color="000000"/>
              <w:bottom w:val="nil"/>
              <w:right w:val="single" w:sz="16" w:space="0" w:color="000000"/>
            </w:tcBorders>
            <w:shd w:val="clear" w:color="auto" w:fill="FFFFFF"/>
            <w:vAlign w:val="bottom"/>
          </w:tcPr>
          <w:p w:rsidR="00CA164D" w:rsidRPr="007D69B4" w:rsidRDefault="00CA164D" w:rsidP="00536115">
            <w:pPr>
              <w:autoSpaceDE w:val="0"/>
              <w:autoSpaceDN w:val="0"/>
              <w:bidi w:val="0"/>
              <w:adjustRightInd w:val="0"/>
              <w:rPr>
                <w:rFonts w:ascii="Arial" w:hAnsi="Arial" w:cs="Arial"/>
                <w:color w:val="000000"/>
                <w:sz w:val="18"/>
                <w:szCs w:val="18"/>
              </w:rPr>
            </w:pPr>
          </w:p>
        </w:tc>
        <w:tc>
          <w:tcPr>
            <w:tcW w:w="1029" w:type="dxa"/>
            <w:vMerge/>
            <w:tcBorders>
              <w:top w:val="single" w:sz="16" w:space="0" w:color="000000"/>
              <w:left w:val="single" w:sz="16" w:space="0" w:color="000000"/>
            </w:tcBorders>
            <w:shd w:val="clear" w:color="auto" w:fill="EEECE1" w:themeFill="background2"/>
            <w:vAlign w:val="bottom"/>
          </w:tcPr>
          <w:p w:rsidR="00CA164D" w:rsidRPr="007D69B4" w:rsidRDefault="00CA164D" w:rsidP="00536115">
            <w:pPr>
              <w:autoSpaceDE w:val="0"/>
              <w:autoSpaceDN w:val="0"/>
              <w:bidi w:val="0"/>
              <w:adjustRightInd w:val="0"/>
              <w:rPr>
                <w:rFonts w:ascii="Arial" w:hAnsi="Arial" w:cs="Arial"/>
                <w:color w:val="000000"/>
                <w:sz w:val="18"/>
                <w:szCs w:val="18"/>
              </w:rPr>
            </w:pPr>
          </w:p>
        </w:tc>
        <w:tc>
          <w:tcPr>
            <w:tcW w:w="1169" w:type="dxa"/>
            <w:vMerge/>
            <w:tcBorders>
              <w:top w:val="single" w:sz="16" w:space="0" w:color="000000"/>
            </w:tcBorders>
            <w:shd w:val="clear" w:color="auto" w:fill="EEECE1" w:themeFill="background2"/>
            <w:vAlign w:val="bottom"/>
          </w:tcPr>
          <w:p w:rsidR="00CA164D" w:rsidRPr="007D69B4" w:rsidRDefault="00CA164D" w:rsidP="00536115">
            <w:pPr>
              <w:autoSpaceDE w:val="0"/>
              <w:autoSpaceDN w:val="0"/>
              <w:bidi w:val="0"/>
              <w:adjustRightInd w:val="0"/>
              <w:rPr>
                <w:rFonts w:ascii="Arial" w:hAnsi="Arial" w:cs="Arial"/>
                <w:color w:val="000000"/>
                <w:sz w:val="18"/>
                <w:szCs w:val="18"/>
              </w:rPr>
            </w:pPr>
          </w:p>
        </w:tc>
        <w:tc>
          <w:tcPr>
            <w:tcW w:w="1476" w:type="dxa"/>
            <w:vMerge/>
            <w:tcBorders>
              <w:top w:val="single" w:sz="16" w:space="0" w:color="000000"/>
            </w:tcBorders>
            <w:shd w:val="clear" w:color="auto" w:fill="FBD4B4" w:themeFill="accent6" w:themeFillTint="66"/>
            <w:vAlign w:val="bottom"/>
          </w:tcPr>
          <w:p w:rsidR="00CA164D" w:rsidRPr="007D69B4" w:rsidRDefault="00CA164D" w:rsidP="00536115">
            <w:pPr>
              <w:autoSpaceDE w:val="0"/>
              <w:autoSpaceDN w:val="0"/>
              <w:bidi w:val="0"/>
              <w:adjustRightInd w:val="0"/>
              <w:rPr>
                <w:rFonts w:ascii="Arial" w:hAnsi="Arial" w:cs="Arial"/>
                <w:color w:val="000000"/>
                <w:sz w:val="18"/>
                <w:szCs w:val="18"/>
              </w:rPr>
            </w:pPr>
          </w:p>
        </w:tc>
        <w:tc>
          <w:tcPr>
            <w:tcW w:w="1476" w:type="dxa"/>
            <w:tcBorders>
              <w:bottom w:val="single" w:sz="16" w:space="0" w:color="000000"/>
            </w:tcBorders>
            <w:shd w:val="clear" w:color="auto" w:fill="EEECE1" w:themeFill="background2"/>
            <w:vAlign w:val="bottom"/>
          </w:tcPr>
          <w:p w:rsidR="00CA164D" w:rsidRPr="007D69B4" w:rsidRDefault="00CA164D" w:rsidP="00536115">
            <w:pPr>
              <w:autoSpaceDE w:val="0"/>
              <w:autoSpaceDN w:val="0"/>
              <w:bidi w:val="0"/>
              <w:adjustRightInd w:val="0"/>
              <w:spacing w:line="320" w:lineRule="atLeast"/>
              <w:ind w:left="60" w:right="60"/>
              <w:jc w:val="center"/>
              <w:rPr>
                <w:rFonts w:ascii="Arial" w:hAnsi="Arial" w:cs="Arial"/>
                <w:color w:val="000000"/>
                <w:sz w:val="18"/>
                <w:szCs w:val="18"/>
              </w:rPr>
            </w:pPr>
            <w:r w:rsidRPr="007D69B4">
              <w:rPr>
                <w:rFonts w:ascii="Arial" w:hAnsi="Arial" w:cs="Arial"/>
                <w:color w:val="000000"/>
                <w:sz w:val="18"/>
                <w:szCs w:val="18"/>
              </w:rPr>
              <w:t>Lower Bound</w:t>
            </w:r>
          </w:p>
        </w:tc>
        <w:tc>
          <w:tcPr>
            <w:tcW w:w="1476" w:type="dxa"/>
            <w:tcBorders>
              <w:bottom w:val="single" w:sz="16" w:space="0" w:color="000000"/>
              <w:right w:val="single" w:sz="16" w:space="0" w:color="000000"/>
            </w:tcBorders>
            <w:shd w:val="clear" w:color="auto" w:fill="EEECE1" w:themeFill="background2"/>
            <w:vAlign w:val="bottom"/>
          </w:tcPr>
          <w:p w:rsidR="00CA164D" w:rsidRPr="007D69B4" w:rsidRDefault="00CA164D" w:rsidP="00536115">
            <w:pPr>
              <w:autoSpaceDE w:val="0"/>
              <w:autoSpaceDN w:val="0"/>
              <w:bidi w:val="0"/>
              <w:adjustRightInd w:val="0"/>
              <w:spacing w:line="320" w:lineRule="atLeast"/>
              <w:ind w:left="60" w:right="60"/>
              <w:jc w:val="center"/>
              <w:rPr>
                <w:rFonts w:ascii="Arial" w:hAnsi="Arial" w:cs="Arial"/>
                <w:color w:val="000000"/>
                <w:sz w:val="18"/>
                <w:szCs w:val="18"/>
              </w:rPr>
            </w:pPr>
            <w:r w:rsidRPr="007D69B4">
              <w:rPr>
                <w:rFonts w:ascii="Arial" w:hAnsi="Arial" w:cs="Arial"/>
                <w:color w:val="000000"/>
                <w:sz w:val="18"/>
                <w:szCs w:val="18"/>
              </w:rPr>
              <w:t>Upper Bound</w:t>
            </w:r>
          </w:p>
        </w:tc>
      </w:tr>
      <w:tr w:rsidR="00CA164D" w:rsidRPr="007D69B4" w:rsidTr="00536115">
        <w:trPr>
          <w:cantSplit/>
        </w:trPr>
        <w:tc>
          <w:tcPr>
            <w:tcW w:w="2228" w:type="dxa"/>
            <w:tcBorders>
              <w:top w:val="single" w:sz="16" w:space="0" w:color="000000"/>
              <w:left w:val="single" w:sz="16" w:space="0" w:color="000000"/>
              <w:bottom w:val="nil"/>
              <w:right w:val="single" w:sz="16" w:space="0" w:color="000000"/>
            </w:tcBorders>
            <w:shd w:val="clear" w:color="auto" w:fill="FFFFFF"/>
          </w:tcPr>
          <w:p w:rsidR="00CA164D" w:rsidRPr="007D69B4"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7D69B4">
              <w:rPr>
                <w:rFonts w:ascii="Arial" w:hAnsi="Arial" w:cs="Arial"/>
                <w:color w:val="000000"/>
                <w:sz w:val="18"/>
                <w:szCs w:val="18"/>
              </w:rPr>
              <w:t xml:space="preserve">Total average </w:t>
            </w:r>
            <w:proofErr w:type="spellStart"/>
            <w:r w:rsidRPr="007D69B4">
              <w:rPr>
                <w:rFonts w:ascii="Arial" w:hAnsi="Arial" w:cs="Arial"/>
                <w:color w:val="000000"/>
                <w:sz w:val="18"/>
                <w:szCs w:val="18"/>
              </w:rPr>
              <w:t>p.RNFL</w:t>
            </w:r>
            <w:proofErr w:type="spellEnd"/>
          </w:p>
        </w:tc>
        <w:tc>
          <w:tcPr>
            <w:tcW w:w="1029" w:type="dxa"/>
            <w:tcBorders>
              <w:top w:val="single" w:sz="16" w:space="0" w:color="000000"/>
              <w:left w:val="single" w:sz="16" w:space="0" w:color="000000"/>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0.810</w:t>
            </w:r>
          </w:p>
        </w:tc>
        <w:tc>
          <w:tcPr>
            <w:tcW w:w="1169" w:type="dxa"/>
            <w:tcBorders>
              <w:top w:val="single" w:sz="16" w:space="0" w:color="000000"/>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.034</w:t>
            </w:r>
          </w:p>
        </w:tc>
        <w:tc>
          <w:tcPr>
            <w:tcW w:w="1476" w:type="dxa"/>
            <w:tcBorders>
              <w:top w:val="single" w:sz="16" w:space="0" w:color="000000"/>
              <w:bottom w:val="nil"/>
            </w:tcBorders>
            <w:shd w:val="clear" w:color="auto" w:fill="FBD4B4" w:themeFill="accent6" w:themeFillTint="66"/>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single" w:sz="16" w:space="0" w:color="000000"/>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750</w:t>
            </w:r>
          </w:p>
        </w:tc>
        <w:tc>
          <w:tcPr>
            <w:tcW w:w="1476" w:type="dxa"/>
            <w:tcBorders>
              <w:top w:val="single" w:sz="16" w:space="0" w:color="000000"/>
              <w:bottom w:val="nil"/>
              <w:right w:val="single" w:sz="16" w:space="0" w:color="000000"/>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870</w:t>
            </w:r>
          </w:p>
        </w:tc>
      </w:tr>
      <w:tr w:rsidR="00CA164D" w:rsidRPr="007D69B4"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7D69B4"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7D69B4">
              <w:rPr>
                <w:rFonts w:ascii="Arial" w:hAnsi="Arial" w:cs="Arial"/>
                <w:color w:val="000000"/>
                <w:sz w:val="18"/>
                <w:szCs w:val="18"/>
              </w:rPr>
              <w:t xml:space="preserve">Inferior </w:t>
            </w:r>
            <w:proofErr w:type="spellStart"/>
            <w:r w:rsidRPr="007D69B4">
              <w:rPr>
                <w:rFonts w:ascii="Arial" w:hAnsi="Arial" w:cs="Arial"/>
                <w:color w:val="000000"/>
                <w:sz w:val="18"/>
                <w:szCs w:val="18"/>
              </w:rPr>
              <w:t>p.RNFL</w:t>
            </w:r>
            <w:proofErr w:type="spellEnd"/>
          </w:p>
        </w:tc>
        <w:tc>
          <w:tcPr>
            <w:tcW w:w="1029" w:type="dxa"/>
            <w:tcBorders>
              <w:top w:val="nil"/>
              <w:left w:val="single" w:sz="16" w:space="0" w:color="000000"/>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701</w:t>
            </w:r>
          </w:p>
        </w:tc>
        <w:tc>
          <w:tcPr>
            <w:tcW w:w="1169" w:type="dxa"/>
            <w:tcBorders>
              <w:top w:val="nil"/>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.038</w:t>
            </w:r>
          </w:p>
        </w:tc>
        <w:tc>
          <w:tcPr>
            <w:tcW w:w="1476" w:type="dxa"/>
            <w:tcBorders>
              <w:top w:val="nil"/>
              <w:bottom w:val="nil"/>
            </w:tcBorders>
            <w:shd w:val="clear" w:color="auto" w:fill="FBD4B4" w:themeFill="accent6" w:themeFillTint="66"/>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0.001</w:t>
            </w:r>
          </w:p>
        </w:tc>
        <w:tc>
          <w:tcPr>
            <w:tcW w:w="1476" w:type="dxa"/>
            <w:tcBorders>
              <w:top w:val="nil"/>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665</w:t>
            </w:r>
          </w:p>
        </w:tc>
        <w:tc>
          <w:tcPr>
            <w:tcW w:w="1476" w:type="dxa"/>
            <w:tcBorders>
              <w:top w:val="nil"/>
              <w:bottom w:val="nil"/>
              <w:right w:val="single" w:sz="16" w:space="0" w:color="000000"/>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737</w:t>
            </w:r>
          </w:p>
        </w:tc>
      </w:tr>
      <w:tr w:rsidR="00CA164D" w:rsidRPr="007D69B4"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7D69B4"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7D69B4">
              <w:rPr>
                <w:rFonts w:ascii="Arial" w:hAnsi="Arial" w:cs="Arial"/>
                <w:color w:val="000000"/>
                <w:sz w:val="18"/>
                <w:szCs w:val="18"/>
              </w:rPr>
              <w:t xml:space="preserve">Superior </w:t>
            </w:r>
            <w:proofErr w:type="spellStart"/>
            <w:r w:rsidRPr="007D69B4">
              <w:rPr>
                <w:rFonts w:ascii="Arial" w:hAnsi="Arial" w:cs="Arial"/>
                <w:color w:val="000000"/>
                <w:sz w:val="18"/>
                <w:szCs w:val="18"/>
              </w:rPr>
              <w:t>p.RNFL</w:t>
            </w:r>
            <w:proofErr w:type="spellEnd"/>
          </w:p>
        </w:tc>
        <w:tc>
          <w:tcPr>
            <w:tcW w:w="1029" w:type="dxa"/>
            <w:tcBorders>
              <w:top w:val="nil"/>
              <w:left w:val="single" w:sz="16" w:space="0" w:color="000000"/>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735</w:t>
            </w:r>
          </w:p>
        </w:tc>
        <w:tc>
          <w:tcPr>
            <w:tcW w:w="1169" w:type="dxa"/>
            <w:tcBorders>
              <w:top w:val="nil"/>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.032</w:t>
            </w:r>
          </w:p>
        </w:tc>
        <w:tc>
          <w:tcPr>
            <w:tcW w:w="1476" w:type="dxa"/>
            <w:tcBorders>
              <w:top w:val="nil"/>
              <w:bottom w:val="nil"/>
            </w:tcBorders>
            <w:shd w:val="clear" w:color="auto" w:fill="FBD4B4" w:themeFill="accent6" w:themeFillTint="66"/>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nil"/>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688</w:t>
            </w:r>
          </w:p>
        </w:tc>
        <w:tc>
          <w:tcPr>
            <w:tcW w:w="1476" w:type="dxa"/>
            <w:tcBorders>
              <w:top w:val="nil"/>
              <w:bottom w:val="nil"/>
              <w:right w:val="single" w:sz="16" w:space="0" w:color="000000"/>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782</w:t>
            </w:r>
          </w:p>
        </w:tc>
      </w:tr>
      <w:tr w:rsidR="00CA164D" w:rsidRPr="007D69B4"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7D69B4"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7D69B4">
              <w:rPr>
                <w:rFonts w:ascii="Arial" w:hAnsi="Arial" w:cs="Arial"/>
                <w:color w:val="000000"/>
                <w:sz w:val="18"/>
                <w:szCs w:val="18"/>
              </w:rPr>
              <w:t xml:space="preserve">Nasal </w:t>
            </w:r>
            <w:proofErr w:type="spellStart"/>
            <w:r w:rsidRPr="007D69B4">
              <w:rPr>
                <w:rFonts w:ascii="Arial" w:hAnsi="Arial" w:cs="Arial"/>
                <w:color w:val="000000"/>
                <w:sz w:val="18"/>
                <w:szCs w:val="18"/>
              </w:rPr>
              <w:t>p.RNFL</w:t>
            </w:r>
            <w:proofErr w:type="spellEnd"/>
          </w:p>
        </w:tc>
        <w:tc>
          <w:tcPr>
            <w:tcW w:w="1029" w:type="dxa"/>
            <w:tcBorders>
              <w:top w:val="nil"/>
              <w:left w:val="single" w:sz="16" w:space="0" w:color="000000"/>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683</w:t>
            </w:r>
          </w:p>
        </w:tc>
        <w:tc>
          <w:tcPr>
            <w:tcW w:w="1169" w:type="dxa"/>
            <w:tcBorders>
              <w:top w:val="nil"/>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.038</w:t>
            </w:r>
          </w:p>
        </w:tc>
        <w:tc>
          <w:tcPr>
            <w:tcW w:w="1476" w:type="dxa"/>
            <w:tcBorders>
              <w:top w:val="nil"/>
              <w:bottom w:val="nil"/>
            </w:tcBorders>
            <w:shd w:val="clear" w:color="auto" w:fill="FBD4B4" w:themeFill="accent6" w:themeFillTint="66"/>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0.005</w:t>
            </w:r>
          </w:p>
        </w:tc>
        <w:tc>
          <w:tcPr>
            <w:tcW w:w="1476" w:type="dxa"/>
            <w:tcBorders>
              <w:top w:val="nil"/>
              <w:bottom w:val="nil"/>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630</w:t>
            </w:r>
          </w:p>
        </w:tc>
        <w:tc>
          <w:tcPr>
            <w:tcW w:w="1476" w:type="dxa"/>
            <w:tcBorders>
              <w:top w:val="nil"/>
              <w:bottom w:val="nil"/>
              <w:right w:val="single" w:sz="16" w:space="0" w:color="000000"/>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736</w:t>
            </w:r>
          </w:p>
        </w:tc>
      </w:tr>
      <w:tr w:rsidR="00CA164D" w:rsidRPr="007D69B4" w:rsidTr="00536115">
        <w:trPr>
          <w:cantSplit/>
        </w:trPr>
        <w:tc>
          <w:tcPr>
            <w:tcW w:w="2228" w:type="dxa"/>
            <w:tcBorders>
              <w:top w:val="nil"/>
              <w:left w:val="single" w:sz="16" w:space="0" w:color="000000"/>
              <w:bottom w:val="single" w:sz="16" w:space="0" w:color="000000"/>
              <w:right w:val="single" w:sz="16" w:space="0" w:color="000000"/>
            </w:tcBorders>
            <w:shd w:val="clear" w:color="auto" w:fill="FFFFFF"/>
          </w:tcPr>
          <w:p w:rsidR="00CA164D" w:rsidRPr="007D69B4"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7D69B4">
              <w:rPr>
                <w:rFonts w:ascii="Arial" w:hAnsi="Arial" w:cs="Arial"/>
                <w:color w:val="000000"/>
                <w:sz w:val="18"/>
                <w:szCs w:val="18"/>
              </w:rPr>
              <w:t xml:space="preserve">Temporal. </w:t>
            </w:r>
            <w:proofErr w:type="spellStart"/>
            <w:r w:rsidRPr="007D69B4">
              <w:rPr>
                <w:rFonts w:ascii="Arial" w:hAnsi="Arial" w:cs="Arial"/>
                <w:color w:val="000000"/>
                <w:sz w:val="18"/>
                <w:szCs w:val="18"/>
              </w:rPr>
              <w:t>p.RNFL</w:t>
            </w:r>
            <w:proofErr w:type="spellEnd"/>
          </w:p>
        </w:tc>
        <w:tc>
          <w:tcPr>
            <w:tcW w:w="1029" w:type="dxa"/>
            <w:tcBorders>
              <w:top w:val="nil"/>
              <w:left w:val="single" w:sz="16" w:space="0" w:color="000000"/>
              <w:bottom w:val="single" w:sz="16" w:space="0" w:color="000000"/>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671</w:t>
            </w:r>
          </w:p>
        </w:tc>
        <w:tc>
          <w:tcPr>
            <w:tcW w:w="1169" w:type="dxa"/>
            <w:tcBorders>
              <w:top w:val="nil"/>
              <w:bottom w:val="single" w:sz="16" w:space="0" w:color="000000"/>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.035</w:t>
            </w:r>
          </w:p>
        </w:tc>
        <w:tc>
          <w:tcPr>
            <w:tcW w:w="1476" w:type="dxa"/>
            <w:tcBorders>
              <w:top w:val="nil"/>
              <w:bottom w:val="single" w:sz="16" w:space="0" w:color="000000"/>
            </w:tcBorders>
            <w:shd w:val="clear" w:color="auto" w:fill="FBD4B4" w:themeFill="accent6" w:themeFillTint="66"/>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0.008</w:t>
            </w:r>
          </w:p>
        </w:tc>
        <w:tc>
          <w:tcPr>
            <w:tcW w:w="1476" w:type="dxa"/>
            <w:tcBorders>
              <w:top w:val="nil"/>
              <w:bottom w:val="single" w:sz="16" w:space="0" w:color="000000"/>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626</w:t>
            </w:r>
          </w:p>
        </w:tc>
        <w:tc>
          <w:tcPr>
            <w:tcW w:w="1476" w:type="dxa"/>
            <w:tcBorders>
              <w:top w:val="nil"/>
              <w:bottom w:val="single" w:sz="16" w:space="0" w:color="000000"/>
              <w:right w:val="single" w:sz="16" w:space="0" w:color="000000"/>
            </w:tcBorders>
            <w:shd w:val="clear" w:color="auto" w:fill="EEECE1" w:themeFill="background2"/>
            <w:vAlign w:val="center"/>
          </w:tcPr>
          <w:p w:rsidR="00CA164D" w:rsidRPr="007D69B4"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7D69B4">
              <w:rPr>
                <w:rFonts w:ascii="Arial" w:hAnsi="Arial" w:cs="Arial"/>
                <w:color w:val="000000"/>
                <w:sz w:val="18"/>
                <w:szCs w:val="18"/>
              </w:rPr>
              <w:t>.</w:t>
            </w:r>
            <w:r>
              <w:rPr>
                <w:rFonts w:ascii="Arial" w:hAnsi="Arial" w:cs="Arial"/>
                <w:color w:val="000000"/>
                <w:sz w:val="18"/>
                <w:szCs w:val="18"/>
              </w:rPr>
              <w:t>716</w:t>
            </w:r>
          </w:p>
        </w:tc>
      </w:tr>
    </w:tbl>
    <w:p w:rsidR="00CA164D" w:rsidRDefault="00CA164D" w:rsidP="00CA164D">
      <w:pPr>
        <w:autoSpaceDE w:val="0"/>
        <w:autoSpaceDN w:val="0"/>
        <w:bidi w:val="0"/>
        <w:adjustRightInd w:val="0"/>
      </w:pPr>
    </w:p>
    <w:tbl>
      <w:tblPr>
        <w:tblW w:w="8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28"/>
        <w:gridCol w:w="1029"/>
        <w:gridCol w:w="1169"/>
        <w:gridCol w:w="1476"/>
        <w:gridCol w:w="1476"/>
        <w:gridCol w:w="1476"/>
      </w:tblGrid>
      <w:tr w:rsidR="00CA164D" w:rsidRPr="00982253" w:rsidTr="00536115">
        <w:trPr>
          <w:cantSplit/>
          <w:trHeight w:val="197"/>
        </w:trPr>
        <w:tc>
          <w:tcPr>
            <w:tcW w:w="8854" w:type="dxa"/>
            <w:gridSpan w:val="6"/>
            <w:tcBorders>
              <w:top w:val="nil"/>
              <w:left w:val="nil"/>
              <w:bottom w:val="nil"/>
              <w:right w:val="nil"/>
            </w:tcBorders>
            <w:shd w:val="clear" w:color="auto" w:fill="FFFFFF"/>
            <w:vAlign w:val="center"/>
          </w:tcPr>
          <w:p w:rsidR="00CA164D" w:rsidRPr="00982253" w:rsidRDefault="00CA164D" w:rsidP="00536115">
            <w:pPr>
              <w:autoSpaceDE w:val="0"/>
              <w:autoSpaceDN w:val="0"/>
              <w:bidi w:val="0"/>
              <w:adjustRightInd w:val="0"/>
              <w:spacing w:line="320" w:lineRule="atLeast"/>
              <w:ind w:right="60"/>
              <w:rPr>
                <w:rFonts w:ascii="Arial" w:hAnsi="Arial" w:cs="Arial"/>
                <w:color w:val="000000"/>
                <w:sz w:val="18"/>
                <w:szCs w:val="18"/>
              </w:rPr>
            </w:pPr>
          </w:p>
        </w:tc>
      </w:tr>
      <w:tr w:rsidR="00CA164D" w:rsidRPr="00982253" w:rsidTr="00536115">
        <w:trPr>
          <w:cantSplit/>
        </w:trPr>
        <w:tc>
          <w:tcPr>
            <w:tcW w:w="2228" w:type="dxa"/>
            <w:tcBorders>
              <w:top w:val="single" w:sz="16" w:space="0" w:color="000000"/>
              <w:left w:val="single" w:sz="16" w:space="0" w:color="000000"/>
              <w:bottom w:val="nil"/>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Disc area</w:t>
            </w:r>
          </w:p>
        </w:tc>
        <w:tc>
          <w:tcPr>
            <w:tcW w:w="1029" w:type="dxa"/>
            <w:tcBorders>
              <w:top w:val="single" w:sz="16" w:space="0" w:color="000000"/>
              <w:left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534</w:t>
            </w:r>
          </w:p>
        </w:tc>
        <w:tc>
          <w:tcPr>
            <w:tcW w:w="1169" w:type="dxa"/>
            <w:tcBorders>
              <w:top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.046</w:t>
            </w:r>
          </w:p>
        </w:tc>
        <w:tc>
          <w:tcPr>
            <w:tcW w:w="1476" w:type="dxa"/>
            <w:tcBorders>
              <w:top w:val="single" w:sz="16" w:space="0" w:color="000000"/>
              <w:bottom w:val="nil"/>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559</w:t>
            </w:r>
          </w:p>
        </w:tc>
        <w:tc>
          <w:tcPr>
            <w:tcW w:w="1476" w:type="dxa"/>
            <w:tcBorders>
              <w:top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484</w:t>
            </w:r>
          </w:p>
        </w:tc>
        <w:tc>
          <w:tcPr>
            <w:tcW w:w="1476" w:type="dxa"/>
            <w:tcBorders>
              <w:top w:val="single" w:sz="16" w:space="0" w:color="000000"/>
              <w:bottom w:val="nil"/>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584</w:t>
            </w:r>
          </w:p>
        </w:tc>
      </w:tr>
      <w:tr w:rsidR="00CA164D" w:rsidRPr="00982253"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Cup area</w:t>
            </w:r>
          </w:p>
        </w:tc>
        <w:tc>
          <w:tcPr>
            <w:tcW w:w="1029" w:type="dxa"/>
            <w:tcBorders>
              <w:top w:val="nil"/>
              <w:left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630</w:t>
            </w:r>
          </w:p>
        </w:tc>
        <w:tc>
          <w:tcPr>
            <w:tcW w:w="1169"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.041</w:t>
            </w:r>
          </w:p>
        </w:tc>
        <w:tc>
          <w:tcPr>
            <w:tcW w:w="1476" w:type="dxa"/>
            <w:tcBorders>
              <w:top w:val="nil"/>
              <w:bottom w:val="nil"/>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0.015</w:t>
            </w:r>
          </w:p>
        </w:tc>
        <w:tc>
          <w:tcPr>
            <w:tcW w:w="1476"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590</w:t>
            </w:r>
          </w:p>
        </w:tc>
        <w:tc>
          <w:tcPr>
            <w:tcW w:w="1476" w:type="dxa"/>
            <w:tcBorders>
              <w:top w:val="nil"/>
              <w:bottom w:val="nil"/>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670</w:t>
            </w:r>
          </w:p>
        </w:tc>
      </w:tr>
      <w:tr w:rsidR="00CA164D" w:rsidRPr="00982253"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Rim area</w:t>
            </w:r>
          </w:p>
        </w:tc>
        <w:tc>
          <w:tcPr>
            <w:tcW w:w="1029" w:type="dxa"/>
            <w:tcBorders>
              <w:top w:val="nil"/>
              <w:left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680</w:t>
            </w:r>
          </w:p>
        </w:tc>
        <w:tc>
          <w:tcPr>
            <w:tcW w:w="1169"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.033</w:t>
            </w:r>
          </w:p>
        </w:tc>
        <w:tc>
          <w:tcPr>
            <w:tcW w:w="1476" w:type="dxa"/>
            <w:tcBorders>
              <w:top w:val="nil"/>
              <w:bottom w:val="nil"/>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0.006</w:t>
            </w:r>
          </w:p>
        </w:tc>
        <w:tc>
          <w:tcPr>
            <w:tcW w:w="1476"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620</w:t>
            </w:r>
          </w:p>
        </w:tc>
        <w:tc>
          <w:tcPr>
            <w:tcW w:w="1476" w:type="dxa"/>
            <w:tcBorders>
              <w:top w:val="nil"/>
              <w:bottom w:val="nil"/>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740</w:t>
            </w:r>
          </w:p>
        </w:tc>
      </w:tr>
      <w:tr w:rsidR="00CA164D" w:rsidRPr="00982253"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C/D area ratio</w:t>
            </w:r>
          </w:p>
        </w:tc>
        <w:tc>
          <w:tcPr>
            <w:tcW w:w="1029" w:type="dxa"/>
            <w:tcBorders>
              <w:top w:val="nil"/>
              <w:left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686</w:t>
            </w:r>
          </w:p>
        </w:tc>
        <w:tc>
          <w:tcPr>
            <w:tcW w:w="1169"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.036</w:t>
            </w:r>
          </w:p>
        </w:tc>
        <w:tc>
          <w:tcPr>
            <w:tcW w:w="1476" w:type="dxa"/>
            <w:tcBorders>
              <w:top w:val="nil"/>
              <w:bottom w:val="nil"/>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0.001</w:t>
            </w:r>
          </w:p>
        </w:tc>
        <w:tc>
          <w:tcPr>
            <w:tcW w:w="1476"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625</w:t>
            </w:r>
          </w:p>
        </w:tc>
        <w:tc>
          <w:tcPr>
            <w:tcW w:w="1476" w:type="dxa"/>
            <w:tcBorders>
              <w:top w:val="nil"/>
              <w:bottom w:val="nil"/>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747</w:t>
            </w:r>
          </w:p>
        </w:tc>
      </w:tr>
      <w:tr w:rsidR="00CA164D" w:rsidRPr="00982253"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Linear CDR</w:t>
            </w:r>
          </w:p>
        </w:tc>
        <w:tc>
          <w:tcPr>
            <w:tcW w:w="1029" w:type="dxa"/>
            <w:tcBorders>
              <w:top w:val="nil"/>
              <w:left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0.6</w:t>
            </w:r>
            <w:r w:rsidRPr="00982253">
              <w:rPr>
                <w:rFonts w:ascii="Arial" w:hAnsi="Arial" w:cs="Arial"/>
                <w:color w:val="000000"/>
                <w:sz w:val="18"/>
                <w:szCs w:val="18"/>
              </w:rPr>
              <w:t>89</w:t>
            </w:r>
          </w:p>
        </w:tc>
        <w:tc>
          <w:tcPr>
            <w:tcW w:w="1169"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.036</w:t>
            </w:r>
          </w:p>
        </w:tc>
        <w:tc>
          <w:tcPr>
            <w:tcW w:w="1476" w:type="dxa"/>
            <w:tcBorders>
              <w:top w:val="nil"/>
              <w:bottom w:val="nil"/>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0.001</w:t>
            </w:r>
          </w:p>
        </w:tc>
        <w:tc>
          <w:tcPr>
            <w:tcW w:w="1476"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630</w:t>
            </w:r>
          </w:p>
        </w:tc>
        <w:tc>
          <w:tcPr>
            <w:tcW w:w="1476" w:type="dxa"/>
            <w:tcBorders>
              <w:top w:val="nil"/>
              <w:bottom w:val="nil"/>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748</w:t>
            </w:r>
          </w:p>
        </w:tc>
      </w:tr>
      <w:tr w:rsidR="00CA164D" w:rsidRPr="00982253"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Vertical CDR</w:t>
            </w:r>
          </w:p>
        </w:tc>
        <w:tc>
          <w:tcPr>
            <w:tcW w:w="1029" w:type="dxa"/>
            <w:tcBorders>
              <w:top w:val="nil"/>
              <w:left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0.669</w:t>
            </w:r>
          </w:p>
        </w:tc>
        <w:tc>
          <w:tcPr>
            <w:tcW w:w="1169"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.038</w:t>
            </w:r>
          </w:p>
        </w:tc>
        <w:tc>
          <w:tcPr>
            <w:tcW w:w="1476" w:type="dxa"/>
            <w:tcBorders>
              <w:top w:val="nil"/>
              <w:bottom w:val="nil"/>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0.003</w:t>
            </w:r>
          </w:p>
        </w:tc>
        <w:tc>
          <w:tcPr>
            <w:tcW w:w="1476"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.6</w:t>
            </w:r>
            <w:r>
              <w:rPr>
                <w:rFonts w:ascii="Arial" w:hAnsi="Arial" w:cs="Arial"/>
                <w:color w:val="000000"/>
                <w:sz w:val="18"/>
                <w:szCs w:val="18"/>
              </w:rPr>
              <w:t>70</w:t>
            </w:r>
          </w:p>
        </w:tc>
        <w:tc>
          <w:tcPr>
            <w:tcW w:w="1476" w:type="dxa"/>
            <w:tcBorders>
              <w:top w:val="nil"/>
              <w:bottom w:val="nil"/>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.845</w:t>
            </w:r>
          </w:p>
        </w:tc>
      </w:tr>
      <w:tr w:rsidR="00CA164D" w:rsidRPr="00982253"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Cup volume</w:t>
            </w:r>
          </w:p>
        </w:tc>
        <w:tc>
          <w:tcPr>
            <w:tcW w:w="1029" w:type="dxa"/>
            <w:tcBorders>
              <w:top w:val="nil"/>
              <w:left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0.69</w:t>
            </w:r>
            <w:r w:rsidRPr="00982253">
              <w:rPr>
                <w:rFonts w:ascii="Arial" w:hAnsi="Arial" w:cs="Arial"/>
                <w:color w:val="000000"/>
                <w:sz w:val="18"/>
                <w:szCs w:val="18"/>
              </w:rPr>
              <w:t>0</w:t>
            </w:r>
          </w:p>
        </w:tc>
        <w:tc>
          <w:tcPr>
            <w:tcW w:w="1169"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.036</w:t>
            </w:r>
          </w:p>
        </w:tc>
        <w:tc>
          <w:tcPr>
            <w:tcW w:w="1476" w:type="dxa"/>
            <w:tcBorders>
              <w:top w:val="nil"/>
              <w:bottom w:val="nil"/>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0.001</w:t>
            </w:r>
          </w:p>
        </w:tc>
        <w:tc>
          <w:tcPr>
            <w:tcW w:w="1476"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730</w:t>
            </w:r>
          </w:p>
        </w:tc>
        <w:tc>
          <w:tcPr>
            <w:tcW w:w="1476" w:type="dxa"/>
            <w:tcBorders>
              <w:top w:val="nil"/>
              <w:bottom w:val="nil"/>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750</w:t>
            </w:r>
          </w:p>
        </w:tc>
      </w:tr>
      <w:tr w:rsidR="00CA164D" w:rsidRPr="00982253"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Rim volume</w:t>
            </w:r>
          </w:p>
        </w:tc>
        <w:tc>
          <w:tcPr>
            <w:tcW w:w="1029" w:type="dxa"/>
            <w:tcBorders>
              <w:top w:val="nil"/>
              <w:left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0.64</w:t>
            </w:r>
            <w:r w:rsidRPr="00982253">
              <w:rPr>
                <w:rFonts w:ascii="Arial" w:hAnsi="Arial" w:cs="Arial"/>
                <w:color w:val="000000"/>
                <w:sz w:val="18"/>
                <w:szCs w:val="18"/>
              </w:rPr>
              <w:t>5</w:t>
            </w:r>
          </w:p>
        </w:tc>
        <w:tc>
          <w:tcPr>
            <w:tcW w:w="1169"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.031</w:t>
            </w:r>
          </w:p>
        </w:tc>
        <w:tc>
          <w:tcPr>
            <w:tcW w:w="1476" w:type="dxa"/>
            <w:tcBorders>
              <w:top w:val="nil"/>
              <w:bottom w:val="nil"/>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0.018</w:t>
            </w:r>
          </w:p>
        </w:tc>
        <w:tc>
          <w:tcPr>
            <w:tcW w:w="1476"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0.602</w:t>
            </w:r>
          </w:p>
        </w:tc>
        <w:tc>
          <w:tcPr>
            <w:tcW w:w="1476" w:type="dxa"/>
            <w:tcBorders>
              <w:top w:val="nil"/>
              <w:bottom w:val="nil"/>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0.688</w:t>
            </w:r>
          </w:p>
        </w:tc>
      </w:tr>
      <w:tr w:rsidR="00CA164D" w:rsidRPr="00982253"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Horizontal DD</w:t>
            </w:r>
          </w:p>
        </w:tc>
        <w:tc>
          <w:tcPr>
            <w:tcW w:w="1029" w:type="dxa"/>
            <w:tcBorders>
              <w:top w:val="nil"/>
              <w:left w:val="single" w:sz="16" w:space="0" w:color="000000"/>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.48</w:t>
            </w:r>
            <w:r>
              <w:rPr>
                <w:rFonts w:ascii="Arial" w:hAnsi="Arial" w:cs="Arial"/>
                <w:color w:val="000000"/>
                <w:sz w:val="18"/>
                <w:szCs w:val="18"/>
              </w:rPr>
              <w:t>0</w:t>
            </w:r>
          </w:p>
        </w:tc>
        <w:tc>
          <w:tcPr>
            <w:tcW w:w="1169"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.046</w:t>
            </w:r>
          </w:p>
        </w:tc>
        <w:tc>
          <w:tcPr>
            <w:tcW w:w="1476" w:type="dxa"/>
            <w:tcBorders>
              <w:top w:val="nil"/>
              <w:bottom w:val="nil"/>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0.73</w:t>
            </w:r>
            <w:r w:rsidRPr="00982253">
              <w:rPr>
                <w:rFonts w:ascii="Arial" w:hAnsi="Arial" w:cs="Arial"/>
                <w:color w:val="000000"/>
                <w:sz w:val="18"/>
                <w:szCs w:val="18"/>
              </w:rPr>
              <w:t>0</w:t>
            </w:r>
          </w:p>
        </w:tc>
        <w:tc>
          <w:tcPr>
            <w:tcW w:w="1476" w:type="dxa"/>
            <w:tcBorders>
              <w:top w:val="nil"/>
              <w:bottom w:val="nil"/>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0.450</w:t>
            </w:r>
          </w:p>
        </w:tc>
        <w:tc>
          <w:tcPr>
            <w:tcW w:w="1476" w:type="dxa"/>
            <w:tcBorders>
              <w:top w:val="nil"/>
              <w:bottom w:val="nil"/>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0.510</w:t>
            </w:r>
          </w:p>
        </w:tc>
      </w:tr>
      <w:tr w:rsidR="00CA164D" w:rsidRPr="00982253" w:rsidTr="00536115">
        <w:trPr>
          <w:cantSplit/>
        </w:trPr>
        <w:tc>
          <w:tcPr>
            <w:tcW w:w="2228" w:type="dxa"/>
            <w:tcBorders>
              <w:top w:val="nil"/>
              <w:left w:val="single" w:sz="16" w:space="0" w:color="000000"/>
              <w:bottom w:val="single" w:sz="16" w:space="0" w:color="000000"/>
              <w:right w:val="single" w:sz="16" w:space="0" w:color="000000"/>
            </w:tcBorders>
            <w:shd w:val="clear" w:color="auto" w:fill="FFFFFF"/>
          </w:tcPr>
          <w:p w:rsidR="00CA164D" w:rsidRPr="00982253"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982253">
              <w:rPr>
                <w:rFonts w:ascii="Arial" w:hAnsi="Arial" w:cs="Arial"/>
                <w:color w:val="000000"/>
                <w:sz w:val="18"/>
                <w:szCs w:val="18"/>
              </w:rPr>
              <w:t>Vertical DD</w:t>
            </w:r>
          </w:p>
        </w:tc>
        <w:tc>
          <w:tcPr>
            <w:tcW w:w="1029" w:type="dxa"/>
            <w:tcBorders>
              <w:top w:val="nil"/>
              <w:left w:val="single" w:sz="16" w:space="0" w:color="000000"/>
              <w:bottom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547</w:t>
            </w:r>
          </w:p>
        </w:tc>
        <w:tc>
          <w:tcPr>
            <w:tcW w:w="1169" w:type="dxa"/>
            <w:tcBorders>
              <w:top w:val="nil"/>
              <w:bottom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.045</w:t>
            </w:r>
          </w:p>
        </w:tc>
        <w:tc>
          <w:tcPr>
            <w:tcW w:w="1476" w:type="dxa"/>
            <w:tcBorders>
              <w:top w:val="nil"/>
              <w:bottom w:val="single" w:sz="16" w:space="0" w:color="000000"/>
            </w:tcBorders>
            <w:shd w:val="clear" w:color="auto" w:fill="FBD4B4" w:themeFill="accent6" w:themeFillTint="66"/>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382</w:t>
            </w:r>
          </w:p>
        </w:tc>
        <w:tc>
          <w:tcPr>
            <w:tcW w:w="1476" w:type="dxa"/>
            <w:tcBorders>
              <w:top w:val="nil"/>
              <w:bottom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500</w:t>
            </w:r>
          </w:p>
        </w:tc>
        <w:tc>
          <w:tcPr>
            <w:tcW w:w="1476" w:type="dxa"/>
            <w:tcBorders>
              <w:top w:val="nil"/>
              <w:bottom w:val="single" w:sz="16" w:space="0" w:color="000000"/>
              <w:right w:val="single" w:sz="16" w:space="0" w:color="000000"/>
            </w:tcBorders>
            <w:shd w:val="clear" w:color="auto" w:fill="EEECE1" w:themeFill="background2"/>
            <w:vAlign w:val="center"/>
          </w:tcPr>
          <w:p w:rsidR="00CA164D" w:rsidRPr="00982253"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82253">
              <w:rPr>
                <w:rFonts w:ascii="Arial" w:hAnsi="Arial" w:cs="Arial"/>
                <w:color w:val="000000"/>
                <w:sz w:val="18"/>
                <w:szCs w:val="18"/>
              </w:rPr>
              <w:t>.</w:t>
            </w:r>
            <w:r>
              <w:rPr>
                <w:rFonts w:ascii="Arial" w:hAnsi="Arial" w:cs="Arial"/>
                <w:color w:val="000000"/>
                <w:sz w:val="18"/>
                <w:szCs w:val="18"/>
              </w:rPr>
              <w:t>594</w:t>
            </w:r>
          </w:p>
        </w:tc>
      </w:tr>
    </w:tbl>
    <w:p w:rsidR="00CA164D" w:rsidRDefault="00CA164D" w:rsidP="00CA164D">
      <w:pPr>
        <w:autoSpaceDE w:val="0"/>
        <w:autoSpaceDN w:val="0"/>
        <w:bidi w:val="0"/>
        <w:adjustRightInd w:val="0"/>
      </w:pPr>
    </w:p>
    <w:tbl>
      <w:tblPr>
        <w:tblW w:w="8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28"/>
        <w:gridCol w:w="1029"/>
        <w:gridCol w:w="1169"/>
        <w:gridCol w:w="1476"/>
        <w:gridCol w:w="1476"/>
        <w:gridCol w:w="1476"/>
      </w:tblGrid>
      <w:tr w:rsidR="00CA164D" w:rsidRPr="00C564E2" w:rsidTr="00536115">
        <w:trPr>
          <w:cantSplit/>
        </w:trPr>
        <w:tc>
          <w:tcPr>
            <w:tcW w:w="8854" w:type="dxa"/>
            <w:gridSpan w:val="6"/>
            <w:tcBorders>
              <w:top w:val="nil"/>
              <w:left w:val="nil"/>
              <w:bottom w:val="nil"/>
              <w:right w:val="nil"/>
            </w:tcBorders>
            <w:shd w:val="clear" w:color="auto" w:fill="FFFFFF"/>
            <w:vAlign w:val="center"/>
          </w:tcPr>
          <w:p w:rsidR="00CA164D" w:rsidRPr="00C564E2" w:rsidRDefault="00CA164D" w:rsidP="00536115">
            <w:pPr>
              <w:autoSpaceDE w:val="0"/>
              <w:autoSpaceDN w:val="0"/>
              <w:bidi w:val="0"/>
              <w:adjustRightInd w:val="0"/>
              <w:spacing w:line="320" w:lineRule="atLeast"/>
              <w:ind w:right="60"/>
              <w:rPr>
                <w:rFonts w:ascii="Arial" w:hAnsi="Arial" w:cs="Arial"/>
                <w:color w:val="000000"/>
                <w:sz w:val="18"/>
                <w:szCs w:val="18"/>
              </w:rPr>
            </w:pPr>
          </w:p>
        </w:tc>
      </w:tr>
      <w:tr w:rsidR="00CA164D" w:rsidRPr="00C564E2" w:rsidTr="00536115">
        <w:trPr>
          <w:cantSplit/>
        </w:trPr>
        <w:tc>
          <w:tcPr>
            <w:tcW w:w="2228" w:type="dxa"/>
            <w:tcBorders>
              <w:top w:val="single" w:sz="16" w:space="0" w:color="000000"/>
              <w:left w:val="single" w:sz="16" w:space="0" w:color="000000"/>
              <w:bottom w:val="nil"/>
              <w:right w:val="single" w:sz="16" w:space="0" w:color="000000"/>
            </w:tcBorders>
            <w:shd w:val="clear" w:color="auto" w:fill="FFFFFF"/>
          </w:tcPr>
          <w:p w:rsidR="00CA164D" w:rsidRPr="00C564E2"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C564E2">
              <w:rPr>
                <w:rFonts w:ascii="Arial" w:hAnsi="Arial" w:cs="Arial"/>
                <w:color w:val="000000"/>
                <w:sz w:val="18"/>
                <w:szCs w:val="18"/>
              </w:rPr>
              <w:t xml:space="preserve">Superior </w:t>
            </w:r>
            <w:proofErr w:type="spellStart"/>
            <w:r w:rsidRPr="00C564E2">
              <w:rPr>
                <w:rFonts w:ascii="Arial" w:hAnsi="Arial" w:cs="Arial"/>
                <w:color w:val="000000"/>
                <w:sz w:val="18"/>
                <w:szCs w:val="18"/>
              </w:rPr>
              <w:t>m.RNFL</w:t>
            </w:r>
            <w:proofErr w:type="spellEnd"/>
          </w:p>
        </w:tc>
        <w:tc>
          <w:tcPr>
            <w:tcW w:w="1029" w:type="dxa"/>
            <w:tcBorders>
              <w:top w:val="single" w:sz="16" w:space="0" w:color="000000"/>
              <w:left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721</w:t>
            </w:r>
          </w:p>
        </w:tc>
        <w:tc>
          <w:tcPr>
            <w:tcW w:w="1169" w:type="dxa"/>
            <w:tcBorders>
              <w:top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.041</w:t>
            </w:r>
          </w:p>
        </w:tc>
        <w:tc>
          <w:tcPr>
            <w:tcW w:w="1476" w:type="dxa"/>
            <w:tcBorders>
              <w:top w:val="single" w:sz="16" w:space="0" w:color="000000"/>
              <w:bottom w:val="nil"/>
            </w:tcBorders>
            <w:shd w:val="clear" w:color="auto" w:fill="FBD4B4" w:themeFill="accent6" w:themeFillTint="66"/>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689</w:t>
            </w:r>
          </w:p>
        </w:tc>
        <w:tc>
          <w:tcPr>
            <w:tcW w:w="1476" w:type="dxa"/>
            <w:tcBorders>
              <w:top w:val="single" w:sz="16" w:space="0" w:color="000000"/>
              <w:bottom w:val="nil"/>
              <w:right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753</w:t>
            </w:r>
          </w:p>
        </w:tc>
      </w:tr>
      <w:tr w:rsidR="00CA164D" w:rsidRPr="00C564E2"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C564E2"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C564E2">
              <w:rPr>
                <w:rFonts w:ascii="Arial" w:hAnsi="Arial" w:cs="Arial"/>
                <w:color w:val="000000"/>
                <w:sz w:val="18"/>
                <w:szCs w:val="18"/>
              </w:rPr>
              <w:t xml:space="preserve">Inferior </w:t>
            </w:r>
            <w:proofErr w:type="spellStart"/>
            <w:r w:rsidRPr="00C564E2">
              <w:rPr>
                <w:rFonts w:ascii="Arial" w:hAnsi="Arial" w:cs="Arial"/>
                <w:color w:val="000000"/>
                <w:sz w:val="18"/>
                <w:szCs w:val="18"/>
              </w:rPr>
              <w:t>m.RNFL</w:t>
            </w:r>
            <w:proofErr w:type="spellEnd"/>
          </w:p>
        </w:tc>
        <w:tc>
          <w:tcPr>
            <w:tcW w:w="1029" w:type="dxa"/>
            <w:tcBorders>
              <w:top w:val="nil"/>
              <w:left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811</w:t>
            </w:r>
          </w:p>
        </w:tc>
        <w:tc>
          <w:tcPr>
            <w:tcW w:w="1169" w:type="dxa"/>
            <w:tcBorders>
              <w:top w:val="nil"/>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.033</w:t>
            </w:r>
          </w:p>
        </w:tc>
        <w:tc>
          <w:tcPr>
            <w:tcW w:w="1476" w:type="dxa"/>
            <w:tcBorders>
              <w:top w:val="nil"/>
              <w:bottom w:val="nil"/>
            </w:tcBorders>
            <w:shd w:val="clear" w:color="auto" w:fill="FBD4B4" w:themeFill="accent6" w:themeFillTint="66"/>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nil"/>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752</w:t>
            </w:r>
          </w:p>
        </w:tc>
        <w:tc>
          <w:tcPr>
            <w:tcW w:w="1476" w:type="dxa"/>
            <w:tcBorders>
              <w:top w:val="nil"/>
              <w:bottom w:val="nil"/>
              <w:right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870</w:t>
            </w:r>
          </w:p>
        </w:tc>
      </w:tr>
      <w:tr w:rsidR="00CA164D" w:rsidRPr="00C564E2" w:rsidTr="00536115">
        <w:trPr>
          <w:cantSplit/>
        </w:trPr>
        <w:tc>
          <w:tcPr>
            <w:tcW w:w="2228" w:type="dxa"/>
            <w:tcBorders>
              <w:top w:val="nil"/>
              <w:left w:val="single" w:sz="16" w:space="0" w:color="000000"/>
              <w:bottom w:val="single" w:sz="16" w:space="0" w:color="000000"/>
              <w:right w:val="single" w:sz="16" w:space="0" w:color="000000"/>
            </w:tcBorders>
            <w:shd w:val="clear" w:color="auto" w:fill="FFFFFF"/>
          </w:tcPr>
          <w:p w:rsidR="00CA164D" w:rsidRPr="00C564E2"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C564E2">
              <w:rPr>
                <w:rFonts w:ascii="Arial" w:hAnsi="Arial" w:cs="Arial"/>
                <w:color w:val="000000"/>
                <w:sz w:val="18"/>
                <w:szCs w:val="18"/>
              </w:rPr>
              <w:t xml:space="preserve">Total </w:t>
            </w:r>
            <w:proofErr w:type="spellStart"/>
            <w:r w:rsidRPr="00C564E2">
              <w:rPr>
                <w:rFonts w:ascii="Arial" w:hAnsi="Arial" w:cs="Arial"/>
                <w:color w:val="000000"/>
                <w:sz w:val="18"/>
                <w:szCs w:val="18"/>
              </w:rPr>
              <w:t>m.RNFL</w:t>
            </w:r>
            <w:proofErr w:type="spellEnd"/>
          </w:p>
        </w:tc>
        <w:tc>
          <w:tcPr>
            <w:tcW w:w="1029" w:type="dxa"/>
            <w:tcBorders>
              <w:top w:val="nil"/>
              <w:left w:val="single" w:sz="16" w:space="0" w:color="000000"/>
              <w:bottom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813</w:t>
            </w:r>
          </w:p>
        </w:tc>
        <w:tc>
          <w:tcPr>
            <w:tcW w:w="1169" w:type="dxa"/>
            <w:tcBorders>
              <w:top w:val="nil"/>
              <w:bottom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.036</w:t>
            </w:r>
          </w:p>
        </w:tc>
        <w:tc>
          <w:tcPr>
            <w:tcW w:w="1476" w:type="dxa"/>
            <w:tcBorders>
              <w:top w:val="nil"/>
              <w:bottom w:val="single" w:sz="16" w:space="0" w:color="000000"/>
            </w:tcBorders>
            <w:shd w:val="clear" w:color="auto" w:fill="FBD4B4" w:themeFill="accent6" w:themeFillTint="66"/>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nil"/>
              <w:bottom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753</w:t>
            </w:r>
          </w:p>
        </w:tc>
        <w:tc>
          <w:tcPr>
            <w:tcW w:w="1476" w:type="dxa"/>
            <w:tcBorders>
              <w:top w:val="nil"/>
              <w:bottom w:val="single" w:sz="16" w:space="0" w:color="000000"/>
              <w:right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873</w:t>
            </w:r>
          </w:p>
        </w:tc>
      </w:tr>
    </w:tbl>
    <w:p w:rsidR="00CA164D" w:rsidRDefault="00CA164D" w:rsidP="000B728D">
      <w:pPr>
        <w:rPr>
          <w:rFonts w:asciiTheme="majorBidi" w:hAnsiTheme="majorBidi" w:cstheme="majorBidi"/>
          <w:sz w:val="24"/>
          <w:szCs w:val="24"/>
          <w:rtl/>
          <w:lang w:bidi="ar-EG"/>
        </w:rPr>
      </w:pPr>
    </w:p>
    <w:tbl>
      <w:tblPr>
        <w:tblW w:w="8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28"/>
        <w:gridCol w:w="1029"/>
        <w:gridCol w:w="1138"/>
        <w:gridCol w:w="31"/>
        <w:gridCol w:w="1476"/>
        <w:gridCol w:w="1476"/>
        <w:gridCol w:w="1476"/>
      </w:tblGrid>
      <w:tr w:rsidR="00CA164D" w:rsidRPr="00C564E2" w:rsidTr="00536115">
        <w:trPr>
          <w:cantSplit/>
        </w:trPr>
        <w:tc>
          <w:tcPr>
            <w:tcW w:w="2228" w:type="dxa"/>
            <w:tcBorders>
              <w:top w:val="single" w:sz="16" w:space="0" w:color="000000"/>
              <w:left w:val="single" w:sz="16" w:space="0" w:color="000000"/>
              <w:bottom w:val="nil"/>
              <w:right w:val="single" w:sz="16" w:space="0" w:color="000000"/>
            </w:tcBorders>
            <w:shd w:val="clear" w:color="auto" w:fill="FFFFFF"/>
          </w:tcPr>
          <w:p w:rsidR="00CA164D" w:rsidRPr="00C564E2"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C564E2">
              <w:rPr>
                <w:rFonts w:ascii="Arial" w:hAnsi="Arial" w:cs="Arial"/>
                <w:color w:val="000000"/>
                <w:sz w:val="18"/>
                <w:szCs w:val="18"/>
              </w:rPr>
              <w:t>Superior GCL+</w:t>
            </w:r>
          </w:p>
        </w:tc>
        <w:tc>
          <w:tcPr>
            <w:tcW w:w="1029" w:type="dxa"/>
            <w:tcBorders>
              <w:top w:val="single" w:sz="16" w:space="0" w:color="000000"/>
              <w:left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748</w:t>
            </w:r>
          </w:p>
        </w:tc>
        <w:tc>
          <w:tcPr>
            <w:tcW w:w="1169" w:type="dxa"/>
            <w:gridSpan w:val="2"/>
            <w:tcBorders>
              <w:top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.035</w:t>
            </w:r>
          </w:p>
        </w:tc>
        <w:tc>
          <w:tcPr>
            <w:tcW w:w="1476" w:type="dxa"/>
            <w:tcBorders>
              <w:top w:val="single" w:sz="16" w:space="0" w:color="000000"/>
              <w:bottom w:val="nil"/>
            </w:tcBorders>
            <w:shd w:val="clear" w:color="auto" w:fill="FBD4B4" w:themeFill="accent6" w:themeFillTint="66"/>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699</w:t>
            </w:r>
          </w:p>
        </w:tc>
        <w:tc>
          <w:tcPr>
            <w:tcW w:w="1476" w:type="dxa"/>
            <w:tcBorders>
              <w:top w:val="single" w:sz="16" w:space="0" w:color="000000"/>
              <w:bottom w:val="nil"/>
              <w:right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797</w:t>
            </w:r>
          </w:p>
        </w:tc>
      </w:tr>
      <w:tr w:rsidR="00CA164D" w:rsidRPr="00C564E2"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C564E2"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C564E2">
              <w:rPr>
                <w:rFonts w:ascii="Arial" w:hAnsi="Arial" w:cs="Arial"/>
                <w:color w:val="000000"/>
                <w:sz w:val="18"/>
                <w:szCs w:val="18"/>
              </w:rPr>
              <w:t>Inferior GCL+</w:t>
            </w:r>
          </w:p>
        </w:tc>
        <w:tc>
          <w:tcPr>
            <w:tcW w:w="1029" w:type="dxa"/>
            <w:tcBorders>
              <w:top w:val="nil"/>
              <w:left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793</w:t>
            </w:r>
          </w:p>
        </w:tc>
        <w:tc>
          <w:tcPr>
            <w:tcW w:w="1169" w:type="dxa"/>
            <w:gridSpan w:val="2"/>
            <w:tcBorders>
              <w:top w:val="nil"/>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.034</w:t>
            </w:r>
          </w:p>
        </w:tc>
        <w:tc>
          <w:tcPr>
            <w:tcW w:w="1476" w:type="dxa"/>
            <w:tcBorders>
              <w:top w:val="nil"/>
              <w:bottom w:val="nil"/>
            </w:tcBorders>
            <w:shd w:val="clear" w:color="auto" w:fill="FBD4B4" w:themeFill="accent6" w:themeFillTint="66"/>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nil"/>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722</w:t>
            </w:r>
          </w:p>
        </w:tc>
        <w:tc>
          <w:tcPr>
            <w:tcW w:w="1476" w:type="dxa"/>
            <w:tcBorders>
              <w:top w:val="nil"/>
              <w:bottom w:val="nil"/>
              <w:right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864</w:t>
            </w:r>
          </w:p>
        </w:tc>
      </w:tr>
      <w:tr w:rsidR="00CA164D" w:rsidRPr="00C564E2" w:rsidTr="00536115">
        <w:trPr>
          <w:cantSplit/>
        </w:trPr>
        <w:tc>
          <w:tcPr>
            <w:tcW w:w="2228" w:type="dxa"/>
            <w:tcBorders>
              <w:top w:val="nil"/>
              <w:left w:val="single" w:sz="16" w:space="0" w:color="000000"/>
              <w:bottom w:val="single" w:sz="16" w:space="0" w:color="000000"/>
              <w:right w:val="single" w:sz="16" w:space="0" w:color="000000"/>
            </w:tcBorders>
            <w:shd w:val="clear" w:color="auto" w:fill="FFFFFF"/>
          </w:tcPr>
          <w:p w:rsidR="00CA164D" w:rsidRPr="00C564E2"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C564E2">
              <w:rPr>
                <w:rFonts w:ascii="Arial" w:hAnsi="Arial" w:cs="Arial"/>
                <w:color w:val="000000"/>
                <w:sz w:val="18"/>
                <w:szCs w:val="18"/>
              </w:rPr>
              <w:t>Total GCL+</w:t>
            </w:r>
          </w:p>
        </w:tc>
        <w:tc>
          <w:tcPr>
            <w:tcW w:w="1029" w:type="dxa"/>
            <w:tcBorders>
              <w:top w:val="nil"/>
              <w:left w:val="single" w:sz="16" w:space="0" w:color="000000"/>
              <w:bottom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790</w:t>
            </w:r>
          </w:p>
        </w:tc>
        <w:tc>
          <w:tcPr>
            <w:tcW w:w="1169" w:type="dxa"/>
            <w:gridSpan w:val="2"/>
            <w:tcBorders>
              <w:top w:val="nil"/>
              <w:bottom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.034</w:t>
            </w:r>
          </w:p>
        </w:tc>
        <w:tc>
          <w:tcPr>
            <w:tcW w:w="1476" w:type="dxa"/>
            <w:tcBorders>
              <w:top w:val="nil"/>
              <w:bottom w:val="single" w:sz="16" w:space="0" w:color="000000"/>
            </w:tcBorders>
            <w:shd w:val="clear" w:color="auto" w:fill="FBD4B4" w:themeFill="accent6" w:themeFillTint="66"/>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nil"/>
              <w:bottom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715</w:t>
            </w:r>
          </w:p>
        </w:tc>
        <w:tc>
          <w:tcPr>
            <w:tcW w:w="1476" w:type="dxa"/>
            <w:tcBorders>
              <w:top w:val="nil"/>
              <w:bottom w:val="single" w:sz="16" w:space="0" w:color="000000"/>
              <w:right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865</w:t>
            </w:r>
          </w:p>
        </w:tc>
      </w:tr>
      <w:tr w:rsidR="00CA164D" w:rsidRPr="00C564E2" w:rsidTr="00536115">
        <w:trPr>
          <w:cantSplit/>
        </w:trPr>
        <w:tc>
          <w:tcPr>
            <w:tcW w:w="8854" w:type="dxa"/>
            <w:gridSpan w:val="7"/>
            <w:tcBorders>
              <w:top w:val="nil"/>
              <w:left w:val="nil"/>
              <w:bottom w:val="nil"/>
              <w:right w:val="nil"/>
            </w:tcBorders>
            <w:shd w:val="clear" w:color="auto" w:fill="FFFFFF"/>
            <w:vAlign w:val="center"/>
          </w:tcPr>
          <w:p w:rsidR="00CA164D" w:rsidRPr="00C564E2" w:rsidRDefault="00CA164D" w:rsidP="00536115">
            <w:pPr>
              <w:autoSpaceDE w:val="0"/>
              <w:autoSpaceDN w:val="0"/>
              <w:bidi w:val="0"/>
              <w:adjustRightInd w:val="0"/>
              <w:spacing w:line="320" w:lineRule="atLeast"/>
              <w:ind w:left="60" w:right="60"/>
              <w:jc w:val="center"/>
              <w:rPr>
                <w:rFonts w:ascii="Arial" w:hAnsi="Arial" w:cs="Arial"/>
                <w:color w:val="000000"/>
                <w:sz w:val="18"/>
                <w:szCs w:val="18"/>
              </w:rPr>
            </w:pPr>
          </w:p>
        </w:tc>
      </w:tr>
      <w:tr w:rsidR="00CA164D" w:rsidRPr="00C564E2" w:rsidTr="00536115">
        <w:trPr>
          <w:cantSplit/>
        </w:trPr>
        <w:tc>
          <w:tcPr>
            <w:tcW w:w="2228" w:type="dxa"/>
            <w:tcBorders>
              <w:top w:val="single" w:sz="16" w:space="0" w:color="000000"/>
              <w:left w:val="single" w:sz="16" w:space="0" w:color="000000"/>
              <w:bottom w:val="nil"/>
              <w:right w:val="single" w:sz="16" w:space="0" w:color="000000"/>
            </w:tcBorders>
            <w:shd w:val="clear" w:color="auto" w:fill="FFFFFF"/>
          </w:tcPr>
          <w:p w:rsidR="00CA164D" w:rsidRPr="00C564E2"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C564E2">
              <w:rPr>
                <w:rFonts w:ascii="Arial" w:hAnsi="Arial" w:cs="Arial"/>
                <w:color w:val="000000"/>
                <w:sz w:val="18"/>
                <w:szCs w:val="18"/>
              </w:rPr>
              <w:t>Superior GCL++</w:t>
            </w:r>
          </w:p>
        </w:tc>
        <w:tc>
          <w:tcPr>
            <w:tcW w:w="1029" w:type="dxa"/>
            <w:tcBorders>
              <w:top w:val="single" w:sz="16" w:space="0" w:color="000000"/>
              <w:left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788</w:t>
            </w:r>
          </w:p>
        </w:tc>
        <w:tc>
          <w:tcPr>
            <w:tcW w:w="1138" w:type="dxa"/>
            <w:tcBorders>
              <w:top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.037</w:t>
            </w:r>
          </w:p>
        </w:tc>
        <w:tc>
          <w:tcPr>
            <w:tcW w:w="1507" w:type="dxa"/>
            <w:gridSpan w:val="2"/>
            <w:tcBorders>
              <w:top w:val="single" w:sz="16" w:space="0" w:color="000000"/>
              <w:bottom w:val="nil"/>
            </w:tcBorders>
            <w:shd w:val="clear" w:color="auto" w:fill="FBD4B4" w:themeFill="accent6" w:themeFillTint="66"/>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719</w:t>
            </w:r>
          </w:p>
        </w:tc>
        <w:tc>
          <w:tcPr>
            <w:tcW w:w="1476" w:type="dxa"/>
            <w:tcBorders>
              <w:top w:val="single" w:sz="16" w:space="0" w:color="000000"/>
              <w:bottom w:val="nil"/>
              <w:right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859</w:t>
            </w:r>
          </w:p>
        </w:tc>
      </w:tr>
      <w:tr w:rsidR="00CA164D" w:rsidRPr="00C564E2" w:rsidTr="00536115">
        <w:trPr>
          <w:cantSplit/>
        </w:trPr>
        <w:tc>
          <w:tcPr>
            <w:tcW w:w="2228" w:type="dxa"/>
            <w:tcBorders>
              <w:top w:val="nil"/>
              <w:left w:val="single" w:sz="16" w:space="0" w:color="000000"/>
              <w:bottom w:val="nil"/>
              <w:right w:val="single" w:sz="16" w:space="0" w:color="000000"/>
            </w:tcBorders>
            <w:shd w:val="clear" w:color="auto" w:fill="FFFFFF"/>
          </w:tcPr>
          <w:p w:rsidR="00CA164D" w:rsidRPr="00C564E2"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C564E2">
              <w:rPr>
                <w:rFonts w:ascii="Arial" w:hAnsi="Arial" w:cs="Arial"/>
                <w:color w:val="000000"/>
                <w:sz w:val="18"/>
                <w:szCs w:val="18"/>
              </w:rPr>
              <w:t>Inferior GCL++</w:t>
            </w:r>
          </w:p>
        </w:tc>
        <w:tc>
          <w:tcPr>
            <w:tcW w:w="1029" w:type="dxa"/>
            <w:tcBorders>
              <w:top w:val="nil"/>
              <w:left w:val="single" w:sz="16" w:space="0" w:color="000000"/>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0.86</w:t>
            </w:r>
            <w:r w:rsidRPr="00C564E2">
              <w:rPr>
                <w:rFonts w:ascii="Arial" w:hAnsi="Arial" w:cs="Arial"/>
                <w:color w:val="000000"/>
                <w:sz w:val="18"/>
                <w:szCs w:val="18"/>
              </w:rPr>
              <w:t>4</w:t>
            </w:r>
          </w:p>
        </w:tc>
        <w:tc>
          <w:tcPr>
            <w:tcW w:w="1138" w:type="dxa"/>
            <w:tcBorders>
              <w:top w:val="nil"/>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.032</w:t>
            </w:r>
          </w:p>
        </w:tc>
        <w:tc>
          <w:tcPr>
            <w:tcW w:w="1507" w:type="dxa"/>
            <w:gridSpan w:val="2"/>
            <w:tcBorders>
              <w:top w:val="nil"/>
              <w:bottom w:val="nil"/>
            </w:tcBorders>
            <w:shd w:val="clear" w:color="auto" w:fill="FBD4B4" w:themeFill="accent6" w:themeFillTint="66"/>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nil"/>
              <w:bottom w:val="nil"/>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817</w:t>
            </w:r>
          </w:p>
        </w:tc>
        <w:tc>
          <w:tcPr>
            <w:tcW w:w="1476" w:type="dxa"/>
            <w:tcBorders>
              <w:top w:val="nil"/>
              <w:bottom w:val="nil"/>
              <w:right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911</w:t>
            </w:r>
          </w:p>
        </w:tc>
      </w:tr>
      <w:tr w:rsidR="00CA164D" w:rsidRPr="00C564E2" w:rsidTr="00536115">
        <w:trPr>
          <w:cantSplit/>
        </w:trPr>
        <w:tc>
          <w:tcPr>
            <w:tcW w:w="2228" w:type="dxa"/>
            <w:tcBorders>
              <w:top w:val="nil"/>
              <w:left w:val="single" w:sz="16" w:space="0" w:color="000000"/>
              <w:bottom w:val="single" w:sz="16" w:space="0" w:color="000000"/>
              <w:right w:val="single" w:sz="16" w:space="0" w:color="000000"/>
            </w:tcBorders>
            <w:shd w:val="clear" w:color="auto" w:fill="FFFFFF"/>
          </w:tcPr>
          <w:p w:rsidR="00CA164D" w:rsidRPr="00C564E2" w:rsidRDefault="00CA164D" w:rsidP="00536115">
            <w:pPr>
              <w:autoSpaceDE w:val="0"/>
              <w:autoSpaceDN w:val="0"/>
              <w:bidi w:val="0"/>
              <w:adjustRightInd w:val="0"/>
              <w:spacing w:line="320" w:lineRule="atLeast"/>
              <w:ind w:left="60" w:right="60"/>
              <w:rPr>
                <w:rFonts w:ascii="Arial" w:hAnsi="Arial" w:cs="Arial"/>
                <w:color w:val="000000"/>
                <w:sz w:val="18"/>
                <w:szCs w:val="18"/>
              </w:rPr>
            </w:pPr>
            <w:r w:rsidRPr="00C564E2">
              <w:rPr>
                <w:rFonts w:ascii="Arial" w:hAnsi="Arial" w:cs="Arial"/>
                <w:color w:val="000000"/>
                <w:sz w:val="18"/>
                <w:szCs w:val="18"/>
              </w:rPr>
              <w:t>Total GCL++</w:t>
            </w:r>
          </w:p>
        </w:tc>
        <w:tc>
          <w:tcPr>
            <w:tcW w:w="1029" w:type="dxa"/>
            <w:tcBorders>
              <w:top w:val="nil"/>
              <w:left w:val="single" w:sz="16" w:space="0" w:color="000000"/>
              <w:bottom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0.876</w:t>
            </w:r>
          </w:p>
        </w:tc>
        <w:tc>
          <w:tcPr>
            <w:tcW w:w="1138" w:type="dxa"/>
            <w:tcBorders>
              <w:top w:val="nil"/>
              <w:bottom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.03</w:t>
            </w:r>
            <w:r>
              <w:rPr>
                <w:rFonts w:ascii="Arial" w:hAnsi="Arial" w:cs="Arial"/>
                <w:color w:val="000000"/>
                <w:sz w:val="18"/>
                <w:szCs w:val="18"/>
              </w:rPr>
              <w:t>0</w:t>
            </w:r>
          </w:p>
        </w:tc>
        <w:tc>
          <w:tcPr>
            <w:tcW w:w="1507" w:type="dxa"/>
            <w:gridSpan w:val="2"/>
            <w:tcBorders>
              <w:top w:val="nil"/>
              <w:bottom w:val="single" w:sz="16" w:space="0" w:color="000000"/>
            </w:tcBorders>
            <w:shd w:val="clear" w:color="auto" w:fill="FBD4B4" w:themeFill="accent6" w:themeFillTint="66"/>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&lt;0.001</w:t>
            </w:r>
          </w:p>
        </w:tc>
        <w:tc>
          <w:tcPr>
            <w:tcW w:w="1476" w:type="dxa"/>
            <w:tcBorders>
              <w:top w:val="nil"/>
              <w:bottom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827</w:t>
            </w:r>
          </w:p>
        </w:tc>
        <w:tc>
          <w:tcPr>
            <w:tcW w:w="1476" w:type="dxa"/>
            <w:tcBorders>
              <w:top w:val="nil"/>
              <w:bottom w:val="single" w:sz="16" w:space="0" w:color="000000"/>
              <w:right w:val="single" w:sz="16" w:space="0" w:color="000000"/>
            </w:tcBorders>
            <w:shd w:val="clear" w:color="auto" w:fill="EEECE1" w:themeFill="background2"/>
            <w:vAlign w:val="center"/>
          </w:tcPr>
          <w:p w:rsidR="00CA164D" w:rsidRPr="00C564E2" w:rsidRDefault="00CA164D" w:rsidP="00536115">
            <w:pPr>
              <w:autoSpaceDE w:val="0"/>
              <w:autoSpaceDN w:val="0"/>
              <w:bidi w:val="0"/>
              <w:adjustRightInd w:val="0"/>
              <w:spacing w:line="320" w:lineRule="atLeast"/>
              <w:ind w:left="60" w:right="60"/>
              <w:jc w:val="right"/>
              <w:rPr>
                <w:rFonts w:ascii="Arial" w:hAnsi="Arial" w:cs="Arial"/>
                <w:color w:val="000000"/>
                <w:sz w:val="18"/>
                <w:szCs w:val="18"/>
              </w:rPr>
            </w:pPr>
            <w:r>
              <w:rPr>
                <w:rFonts w:ascii="Arial" w:hAnsi="Arial" w:cs="Arial"/>
                <w:color w:val="000000"/>
                <w:sz w:val="18"/>
                <w:szCs w:val="18"/>
              </w:rPr>
              <w:t>0</w:t>
            </w:r>
            <w:r w:rsidRPr="00C564E2">
              <w:rPr>
                <w:rFonts w:ascii="Arial" w:hAnsi="Arial" w:cs="Arial"/>
                <w:color w:val="000000"/>
                <w:sz w:val="18"/>
                <w:szCs w:val="18"/>
              </w:rPr>
              <w:t>.</w:t>
            </w:r>
            <w:r>
              <w:rPr>
                <w:rFonts w:ascii="Arial" w:hAnsi="Arial" w:cs="Arial"/>
                <w:color w:val="000000"/>
                <w:sz w:val="18"/>
                <w:szCs w:val="18"/>
              </w:rPr>
              <w:t>925</w:t>
            </w:r>
          </w:p>
        </w:tc>
      </w:tr>
    </w:tbl>
    <w:p w:rsidR="00CA164D" w:rsidRDefault="00CA164D" w:rsidP="000B728D">
      <w:pPr>
        <w:rPr>
          <w:rFonts w:asciiTheme="majorBidi" w:hAnsiTheme="majorBidi" w:cstheme="majorBidi"/>
          <w:sz w:val="24"/>
          <w:szCs w:val="24"/>
          <w:rtl/>
          <w:lang w:bidi="ar-EG"/>
        </w:rPr>
      </w:pPr>
    </w:p>
    <w:p w:rsidR="0051753D" w:rsidRDefault="0051753D" w:rsidP="00386ADD">
      <w:pPr>
        <w:rPr>
          <w:rFonts w:asciiTheme="majorBidi" w:hAnsiTheme="majorBidi" w:cstheme="majorBidi"/>
          <w:sz w:val="24"/>
          <w:szCs w:val="24"/>
          <w:rtl/>
          <w:lang w:bidi="ar-EG"/>
        </w:rPr>
      </w:pPr>
    </w:p>
    <w:p w:rsidR="0051753D" w:rsidRDefault="0051753D" w:rsidP="0051753D">
      <w:pPr>
        <w:jc w:val="center"/>
        <w:rPr>
          <w:rFonts w:asciiTheme="majorBidi" w:hAnsiTheme="majorBidi" w:cstheme="majorBidi"/>
          <w:sz w:val="24"/>
          <w:szCs w:val="24"/>
          <w:rtl/>
          <w:lang w:bidi="ar-EG"/>
        </w:rPr>
      </w:pPr>
    </w:p>
    <w:p w:rsidR="00536115" w:rsidRPr="003450DA" w:rsidRDefault="00536115" w:rsidP="00536115">
      <w:pPr>
        <w:tabs>
          <w:tab w:val="left" w:pos="776"/>
          <w:tab w:val="center" w:pos="4153"/>
        </w:tabs>
        <w:spacing w:line="240" w:lineRule="auto"/>
        <w:jc w:val="center"/>
        <w:rPr>
          <w:rFonts w:ascii="Times New Roman" w:eastAsia="Calibri" w:hAnsi="Times New Roman" w:cs="Times New Roman"/>
          <w:b/>
          <w:bCs/>
          <w:sz w:val="28"/>
          <w:szCs w:val="28"/>
          <w:rtl/>
          <w:lang w:eastAsia="en-US" w:bidi="ar-EG"/>
        </w:rPr>
      </w:pPr>
      <w:r w:rsidRPr="003450DA">
        <w:rPr>
          <w:rFonts w:ascii="Times New Roman" w:eastAsia="Calibri" w:hAnsi="Times New Roman" w:cs="Times New Roman"/>
          <w:b/>
          <w:bCs/>
          <w:sz w:val="28"/>
          <w:szCs w:val="28"/>
          <w:rtl/>
          <w:lang w:eastAsia="en-US" w:bidi="ar-EG"/>
        </w:rPr>
        <w:lastRenderedPageBreak/>
        <w:t>الملخص العر</w:t>
      </w:r>
      <w:r w:rsidRPr="003450DA">
        <w:rPr>
          <w:rFonts w:ascii="Times New Roman" w:eastAsia="Calibri" w:hAnsi="Times New Roman" w:cs="Times New Roman" w:hint="cs"/>
          <w:b/>
          <w:bCs/>
          <w:sz w:val="28"/>
          <w:szCs w:val="28"/>
          <w:rtl/>
          <w:lang w:eastAsia="en-US" w:bidi="ar-EG"/>
        </w:rPr>
        <w:t>بي</w:t>
      </w:r>
    </w:p>
    <w:p w:rsidR="00536115" w:rsidRPr="003450DA" w:rsidRDefault="00536115" w:rsidP="00536115">
      <w:pPr>
        <w:spacing w:line="240" w:lineRule="auto"/>
        <w:ind w:left="-142"/>
        <w:rPr>
          <w:rFonts w:ascii="Calibri" w:eastAsia="MS Mincho" w:hAnsi="Calibri" w:cs="Arial"/>
          <w:b/>
          <w:bCs/>
          <w:sz w:val="28"/>
          <w:szCs w:val="28"/>
          <w:rtl/>
          <w:lang w:bidi="ar-EG"/>
        </w:rPr>
      </w:pPr>
      <w:r w:rsidRPr="003450DA">
        <w:rPr>
          <w:rFonts w:ascii="Times New Roman" w:eastAsia="Times New Roman" w:hAnsi="Times New Roman" w:cs="Times New Roman"/>
          <w:b/>
          <w:bCs/>
          <w:sz w:val="28"/>
          <w:szCs w:val="28"/>
          <w:u w:val="single"/>
          <w:rtl/>
          <w:lang w:eastAsia="en-US" w:bidi="ar-EG"/>
        </w:rPr>
        <w:t>مق</w:t>
      </w:r>
      <w:r w:rsidRPr="003450DA">
        <w:rPr>
          <w:rFonts w:ascii="Times New Roman" w:eastAsia="Times New Roman" w:hAnsi="Times New Roman" w:cs="Times New Roman" w:hint="cs"/>
          <w:b/>
          <w:bCs/>
          <w:sz w:val="28"/>
          <w:szCs w:val="28"/>
          <w:u w:val="single"/>
          <w:rtl/>
          <w:lang w:eastAsia="en-US"/>
        </w:rPr>
        <w:t>دمة</w:t>
      </w:r>
      <w:r w:rsidRPr="003450DA">
        <w:rPr>
          <w:rFonts w:ascii="Times New Roman" w:eastAsia="Times New Roman" w:hAnsi="Times New Roman" w:cs="Times New Roman"/>
          <w:sz w:val="28"/>
          <w:szCs w:val="28"/>
          <w:lang w:eastAsia="en-US" w:bidi="ar-EG"/>
        </w:rPr>
        <w:t>:</w:t>
      </w:r>
    </w:p>
    <w:p w:rsidR="00F66DA3" w:rsidRPr="00FF4AA9" w:rsidRDefault="00F66DA3" w:rsidP="00386ADD">
      <w:pPr>
        <w:spacing w:line="240" w:lineRule="auto"/>
        <w:rPr>
          <w:rFonts w:asciiTheme="majorBidi" w:hAnsiTheme="majorBidi" w:cstheme="majorBidi"/>
          <w:sz w:val="24"/>
          <w:szCs w:val="24"/>
          <w:rtl/>
          <w:lang w:bidi="ar-EG"/>
        </w:rPr>
      </w:pPr>
      <w:r w:rsidRPr="00FF4AA9">
        <w:rPr>
          <w:rFonts w:asciiTheme="majorBidi" w:hAnsiTheme="majorBidi" w:cstheme="majorBidi" w:hint="cs"/>
          <w:sz w:val="24"/>
          <w:szCs w:val="24"/>
          <w:rtl/>
          <w:lang w:bidi="ar-EG"/>
        </w:rPr>
        <w:t xml:space="preserve">ازداد دور الاشعة في تشخيص وعلاج المياه الزرقاء خلال السنوات الاخيرة وكان التطور الاساسي في الاشعة عند اكتشاف الاشعة المقطعية المترابطة من قبل هانج سنة 1991 وهي طريقة للتصوير الاشعاعي تمكنا من تكوين فكرة تشريحية قريبة من تلك الناتجة عند فحص عينات من الشبكية </w:t>
      </w:r>
    </w:p>
    <w:p w:rsidR="00F66DA3" w:rsidRPr="00FF4AA9" w:rsidRDefault="00F66DA3" w:rsidP="00386ADD">
      <w:pPr>
        <w:spacing w:line="240" w:lineRule="auto"/>
        <w:rPr>
          <w:rFonts w:asciiTheme="majorBidi" w:hAnsiTheme="majorBidi" w:cstheme="majorBidi"/>
          <w:sz w:val="24"/>
          <w:szCs w:val="24"/>
          <w:rtl/>
          <w:lang w:bidi="ar-EG"/>
        </w:rPr>
      </w:pPr>
      <w:r w:rsidRPr="00FF4AA9">
        <w:rPr>
          <w:rFonts w:asciiTheme="majorBidi" w:hAnsiTheme="majorBidi" w:cstheme="majorBidi" w:hint="cs"/>
          <w:sz w:val="24"/>
          <w:szCs w:val="24"/>
          <w:rtl/>
          <w:lang w:bidi="ar-EG"/>
        </w:rPr>
        <w:t xml:space="preserve">كذلك اختبارات مجال الابصار قادرة علي معرفة الخصائص الوظيفية لكل نقطة في الشبكية </w:t>
      </w:r>
    </w:p>
    <w:p w:rsidR="00F66DA3" w:rsidRPr="00FF4AA9" w:rsidRDefault="00F66DA3" w:rsidP="00F66DA3">
      <w:pPr>
        <w:autoSpaceDE w:val="0"/>
        <w:autoSpaceDN w:val="0"/>
        <w:bidi w:val="0"/>
        <w:adjustRightInd w:val="0"/>
        <w:jc w:val="right"/>
        <w:rPr>
          <w:b/>
          <w:bCs/>
          <w:color w:val="000000"/>
          <w:sz w:val="24"/>
          <w:szCs w:val="24"/>
          <w:u w:val="single"/>
          <w:rtl/>
          <w:lang w:bidi="ar-EG"/>
        </w:rPr>
      </w:pPr>
      <w:r w:rsidRPr="00FF4AA9">
        <w:rPr>
          <w:rFonts w:hint="cs"/>
          <w:b/>
          <w:bCs/>
          <w:color w:val="000000"/>
          <w:sz w:val="24"/>
          <w:szCs w:val="24"/>
          <w:u w:val="single"/>
          <w:rtl/>
          <w:lang w:bidi="ar-EG"/>
        </w:rPr>
        <w:t>الهدف من الدراسة :</w:t>
      </w:r>
    </w:p>
    <w:p w:rsidR="00F66DA3" w:rsidRPr="00FF4AA9" w:rsidRDefault="00F66DA3" w:rsidP="00386ADD">
      <w:pPr>
        <w:autoSpaceDE w:val="0"/>
        <w:autoSpaceDN w:val="0"/>
        <w:bidi w:val="0"/>
        <w:adjustRightInd w:val="0"/>
        <w:spacing w:line="240" w:lineRule="auto"/>
        <w:jc w:val="right"/>
        <w:rPr>
          <w:color w:val="000000"/>
          <w:sz w:val="24"/>
          <w:szCs w:val="24"/>
          <w:lang w:bidi="ar-EG"/>
        </w:rPr>
      </w:pPr>
      <w:r w:rsidRPr="00FF4AA9">
        <w:rPr>
          <w:rFonts w:hint="cs"/>
          <w:color w:val="000000"/>
          <w:sz w:val="24"/>
          <w:szCs w:val="24"/>
          <w:rtl/>
          <w:lang w:bidi="ar-EG"/>
        </w:rPr>
        <w:t xml:space="preserve">       تقييم العلاقة بين مؤشرات الخطورة بالمجال البصرى مقاسة بجهاز مجال البصر الآلى القياسى وكلا من سمك طبقة الألياف العصبية والعقد البصرية بالشبكية والحليمة البصرية مقاسين بجهاز التصوير المقطعى البصرى فى مرضى المياه الزرقاء الاولية وذلك لربط تركيب الشبكية بالوظيفة البصرية ولمعرفة اكثر العوامل قدرة علي التفريق بين الاعين السليمة والمصابة .</w:t>
      </w:r>
      <w:r w:rsidRPr="00FF4AA9">
        <w:rPr>
          <w:color w:val="000000"/>
          <w:sz w:val="24"/>
          <w:szCs w:val="24"/>
          <w:lang w:bidi="ar-EG"/>
        </w:rPr>
        <w:t xml:space="preserve">  </w:t>
      </w:r>
    </w:p>
    <w:p w:rsidR="00F66DA3" w:rsidRPr="00FF4AA9" w:rsidRDefault="00F66DA3" w:rsidP="00F66DA3">
      <w:pPr>
        <w:autoSpaceDE w:val="0"/>
        <w:autoSpaceDN w:val="0"/>
        <w:bidi w:val="0"/>
        <w:adjustRightInd w:val="0"/>
        <w:jc w:val="right"/>
        <w:rPr>
          <w:b/>
          <w:bCs/>
          <w:color w:val="000000"/>
          <w:sz w:val="24"/>
          <w:szCs w:val="24"/>
          <w:u w:val="single"/>
          <w:rtl/>
          <w:lang w:bidi="ar-EG"/>
        </w:rPr>
      </w:pPr>
      <w:r w:rsidRPr="00FF4AA9">
        <w:rPr>
          <w:rFonts w:hint="cs"/>
          <w:b/>
          <w:bCs/>
          <w:color w:val="000000"/>
          <w:sz w:val="24"/>
          <w:szCs w:val="24"/>
          <w:u w:val="single"/>
          <w:rtl/>
          <w:lang w:bidi="ar-EG"/>
        </w:rPr>
        <w:t>طريقة الدراسة :</w:t>
      </w:r>
    </w:p>
    <w:p w:rsidR="00FF4AA9" w:rsidRDefault="00386ADD" w:rsidP="00386ADD">
      <w:pPr>
        <w:autoSpaceDE w:val="0"/>
        <w:autoSpaceDN w:val="0"/>
        <w:bidi w:val="0"/>
        <w:adjustRightInd w:val="0"/>
        <w:spacing w:line="240" w:lineRule="auto"/>
        <w:jc w:val="left"/>
        <w:rPr>
          <w:color w:val="000000"/>
          <w:sz w:val="24"/>
          <w:szCs w:val="24"/>
          <w:rtl/>
          <w:lang w:bidi="ar-EG"/>
        </w:rPr>
      </w:pPr>
      <w:r>
        <w:rPr>
          <w:rFonts w:hint="cs"/>
          <w:color w:val="000000"/>
          <w:sz w:val="24"/>
          <w:szCs w:val="24"/>
          <w:rtl/>
          <w:lang w:bidi="ar-EG"/>
        </w:rPr>
        <w:t xml:space="preserve">  </w:t>
      </w:r>
      <w:r w:rsidR="00F66DA3" w:rsidRPr="00FF4AA9">
        <w:rPr>
          <w:rFonts w:hint="cs"/>
          <w:color w:val="000000"/>
          <w:sz w:val="24"/>
          <w:szCs w:val="24"/>
          <w:rtl/>
          <w:lang w:bidi="ar-EG"/>
        </w:rPr>
        <w:t xml:space="preserve">  تم اخذ موافقة كتابية من جميع الحالات الذين تشملهم الدراسة بما لايخالف أخل</w:t>
      </w:r>
      <w:r w:rsidR="00FF4AA9">
        <w:rPr>
          <w:rFonts w:hint="cs"/>
          <w:color w:val="000000"/>
          <w:sz w:val="24"/>
          <w:szCs w:val="24"/>
          <w:rtl/>
          <w:lang w:bidi="ar-EG"/>
        </w:rPr>
        <w:t xml:space="preserve">اقيات البحث العلمي.     </w:t>
      </w:r>
      <w:r w:rsidR="00F66DA3" w:rsidRPr="00FF4AA9">
        <w:rPr>
          <w:rFonts w:hint="cs"/>
          <w:color w:val="000000"/>
          <w:sz w:val="24"/>
          <w:szCs w:val="24"/>
          <w:rtl/>
          <w:lang w:bidi="ar-EG"/>
        </w:rPr>
        <w:t xml:space="preserve">  هذه الدراسة تتضمن 92 عين مصابة بالمياه الزرقاء و 68 عين غير مصابة وتم إخضاعهم للتقييم بجهاز مجال الإبصار الآلى القياسى والتصوير المقطعى البصرى</w:t>
      </w:r>
      <w:r w:rsidR="00FF4AA9">
        <w:rPr>
          <w:rFonts w:hint="cs"/>
          <w:color w:val="000000"/>
          <w:sz w:val="24"/>
          <w:szCs w:val="24"/>
          <w:rtl/>
          <w:lang w:bidi="ar-EG"/>
        </w:rPr>
        <w:t xml:space="preserve"> .                                                                </w:t>
      </w:r>
    </w:p>
    <w:p w:rsidR="00FF4AA9" w:rsidRPr="00FF4AA9" w:rsidRDefault="00FF4AA9" w:rsidP="00FF4AA9">
      <w:pPr>
        <w:autoSpaceDE w:val="0"/>
        <w:autoSpaceDN w:val="0"/>
        <w:bidi w:val="0"/>
        <w:adjustRightInd w:val="0"/>
        <w:jc w:val="right"/>
        <w:rPr>
          <w:rFonts w:asciiTheme="majorBidi" w:hAnsiTheme="majorBidi" w:cstheme="majorBidi"/>
          <w:sz w:val="24"/>
          <w:szCs w:val="24"/>
          <w:rtl/>
          <w:lang w:bidi="ar-EG"/>
        </w:rPr>
      </w:pPr>
      <w:r w:rsidRPr="00FF4AA9">
        <w:rPr>
          <w:rFonts w:ascii="Times New Roman" w:eastAsia="Times New Roman" w:hAnsi="Times New Roman" w:cs="Times New Roman"/>
          <w:b/>
          <w:bCs/>
          <w:sz w:val="24"/>
          <w:szCs w:val="24"/>
          <w:u w:val="single"/>
          <w:rtl/>
          <w:lang w:eastAsia="en-US" w:bidi="ar-EG"/>
        </w:rPr>
        <w:t>ما</w:t>
      </w:r>
      <w:r w:rsidRPr="00FF4AA9">
        <w:rPr>
          <w:rFonts w:ascii="Times New Roman" w:eastAsia="Times New Roman" w:hAnsi="Times New Roman" w:cs="Times New Roman" w:hint="cs"/>
          <w:b/>
          <w:bCs/>
          <w:sz w:val="24"/>
          <w:szCs w:val="24"/>
          <w:u w:val="single"/>
          <w:rtl/>
          <w:lang w:eastAsia="en-US" w:bidi="ar-EG"/>
        </w:rPr>
        <w:t>تو</w:t>
      </w:r>
      <w:r w:rsidRPr="00FF4AA9">
        <w:rPr>
          <w:rFonts w:ascii="Times New Roman" w:eastAsia="Times New Roman" w:hAnsi="Times New Roman" w:cs="Times New Roman"/>
          <w:b/>
          <w:bCs/>
          <w:sz w:val="24"/>
          <w:szCs w:val="24"/>
          <w:u w:val="single"/>
          <w:rtl/>
          <w:lang w:eastAsia="en-US" w:bidi="ar-EG"/>
        </w:rPr>
        <w:t>ص</w:t>
      </w:r>
      <w:r w:rsidRPr="00FF4AA9">
        <w:rPr>
          <w:rFonts w:ascii="Times New Roman" w:eastAsia="Times New Roman" w:hAnsi="Times New Roman" w:cs="Times New Roman" w:hint="cs"/>
          <w:b/>
          <w:bCs/>
          <w:sz w:val="24"/>
          <w:szCs w:val="24"/>
          <w:u w:val="single"/>
          <w:rtl/>
          <w:lang w:eastAsia="en-US" w:bidi="ar-EG"/>
        </w:rPr>
        <w:t>ل</w:t>
      </w:r>
      <w:r w:rsidRPr="00FF4AA9">
        <w:rPr>
          <w:rFonts w:ascii="Times New Roman" w:eastAsia="Times New Roman" w:hAnsi="Times New Roman" w:cs="Times New Roman"/>
          <w:b/>
          <w:bCs/>
          <w:sz w:val="24"/>
          <w:szCs w:val="24"/>
          <w:u w:val="single"/>
          <w:rtl/>
          <w:lang w:eastAsia="en-US" w:bidi="ar-EG"/>
        </w:rPr>
        <w:t xml:space="preserve"> إ</w:t>
      </w:r>
      <w:r w:rsidRPr="00FF4AA9">
        <w:rPr>
          <w:rFonts w:ascii="Times New Roman" w:eastAsia="Times New Roman" w:hAnsi="Times New Roman" w:cs="Times New Roman" w:hint="cs"/>
          <w:b/>
          <w:bCs/>
          <w:sz w:val="24"/>
          <w:szCs w:val="24"/>
          <w:u w:val="single"/>
          <w:rtl/>
          <w:lang w:eastAsia="en-US"/>
        </w:rPr>
        <w:t>ليه</w:t>
      </w:r>
      <w:r w:rsidRPr="00FF4AA9">
        <w:rPr>
          <w:rFonts w:ascii="Times New Roman" w:eastAsia="Times New Roman" w:hAnsi="Times New Roman" w:cs="Times New Roman"/>
          <w:b/>
          <w:bCs/>
          <w:sz w:val="24"/>
          <w:szCs w:val="24"/>
          <w:u w:val="single"/>
          <w:rtl/>
          <w:lang w:eastAsia="en-US" w:bidi="ar-EG"/>
        </w:rPr>
        <w:t xml:space="preserve"> ا</w:t>
      </w:r>
      <w:r w:rsidRPr="00FF4AA9">
        <w:rPr>
          <w:rFonts w:ascii="Times New Roman" w:eastAsia="Times New Roman" w:hAnsi="Times New Roman" w:cs="Times New Roman" w:hint="cs"/>
          <w:b/>
          <w:bCs/>
          <w:sz w:val="24"/>
          <w:szCs w:val="24"/>
          <w:u w:val="single"/>
          <w:rtl/>
          <w:lang w:eastAsia="en-US"/>
        </w:rPr>
        <w:t>لبحث</w:t>
      </w:r>
      <w:r w:rsidRPr="00FF4AA9">
        <w:rPr>
          <w:rFonts w:asciiTheme="majorBidi" w:hAnsiTheme="majorBidi" w:cstheme="majorBidi" w:hint="cs"/>
          <w:sz w:val="24"/>
          <w:szCs w:val="24"/>
          <w:rtl/>
          <w:lang w:bidi="ar-EG"/>
        </w:rPr>
        <w:t>:</w:t>
      </w:r>
    </w:p>
    <w:p w:rsidR="00F66DA3" w:rsidRPr="00FF4AA9" w:rsidRDefault="00F66DA3" w:rsidP="00386ADD">
      <w:pPr>
        <w:autoSpaceDE w:val="0"/>
        <w:autoSpaceDN w:val="0"/>
        <w:bidi w:val="0"/>
        <w:adjustRightInd w:val="0"/>
        <w:spacing w:line="240" w:lineRule="auto"/>
        <w:jc w:val="right"/>
        <w:rPr>
          <w:color w:val="000000"/>
          <w:sz w:val="24"/>
          <w:szCs w:val="24"/>
          <w:lang w:bidi="ar-EG"/>
        </w:rPr>
      </w:pPr>
      <w:r w:rsidRPr="00FF4AA9">
        <w:rPr>
          <w:rFonts w:hint="cs"/>
          <w:color w:val="000000"/>
          <w:sz w:val="24"/>
          <w:szCs w:val="24"/>
          <w:rtl/>
          <w:lang w:bidi="ar-EG"/>
        </w:rPr>
        <w:t xml:space="preserve"> لاحظنا أن عوامل المجال البصرى أكثر إرتباطا بطبقة الألياف العصبية حول العصب البصرى عنها بعوامل المقولة البصرية أو رأس العصب البصرى وكان أكثرها إرتباطا هو المجموع الكلي الوسطي يليها الربع السفلي ووجدنا ان الربع السفلي لطبقة الالياف العصبية اكثر ارتباطا بالربع السفلي للعقد البصرية بالشبكية يليها بالمجموع الكلي الوسطي لها . </w:t>
      </w:r>
      <w:r w:rsidR="00FF4AA9">
        <w:rPr>
          <w:rFonts w:hint="cs"/>
          <w:color w:val="000000"/>
          <w:sz w:val="24"/>
          <w:szCs w:val="24"/>
          <w:rtl/>
          <w:lang w:bidi="ar-EG"/>
        </w:rPr>
        <w:t xml:space="preserve">                                                        </w:t>
      </w:r>
      <w:r w:rsidRPr="00FF4AA9">
        <w:rPr>
          <w:rFonts w:hint="cs"/>
          <w:color w:val="000000"/>
          <w:sz w:val="24"/>
          <w:szCs w:val="24"/>
          <w:rtl/>
          <w:lang w:bidi="ar-EG"/>
        </w:rPr>
        <w:t xml:space="preserve">            </w:t>
      </w:r>
      <w:r w:rsidR="00FF4AA9">
        <w:rPr>
          <w:rFonts w:hint="cs"/>
          <w:color w:val="000000"/>
          <w:sz w:val="24"/>
          <w:szCs w:val="24"/>
          <w:rtl/>
          <w:lang w:bidi="ar-EG"/>
        </w:rPr>
        <w:t xml:space="preserve">                    </w:t>
      </w:r>
    </w:p>
    <w:p w:rsidR="00FF4AA9" w:rsidRPr="00FF4AA9" w:rsidRDefault="00F66DA3" w:rsidP="00386ADD">
      <w:pPr>
        <w:autoSpaceDE w:val="0"/>
        <w:autoSpaceDN w:val="0"/>
        <w:bidi w:val="0"/>
        <w:adjustRightInd w:val="0"/>
        <w:spacing w:line="240" w:lineRule="auto"/>
        <w:jc w:val="right"/>
        <w:rPr>
          <w:color w:val="000000"/>
          <w:sz w:val="24"/>
          <w:szCs w:val="24"/>
          <w:lang w:bidi="ar-EG"/>
        </w:rPr>
      </w:pPr>
      <w:r w:rsidRPr="00FF4AA9">
        <w:rPr>
          <w:rFonts w:hint="cs"/>
          <w:color w:val="000000"/>
          <w:sz w:val="24"/>
          <w:szCs w:val="24"/>
          <w:rtl/>
          <w:lang w:bidi="ar-EG"/>
        </w:rPr>
        <w:t xml:space="preserve">      ولاحظنا ان المجموع الكلي الوسطي والربع السفلي للعقد البصرية بالشبكية والربع السفلي لطبقة الالياف العصبية هما اكثر العوامل القادرة علي التفريق بين الاعين السليمة والمصابة .</w:t>
      </w:r>
    </w:p>
    <w:p w:rsidR="00FF4AA9" w:rsidRPr="00FF4AA9" w:rsidRDefault="00FF4AA9" w:rsidP="00FF4AA9">
      <w:pPr>
        <w:autoSpaceDE w:val="0"/>
        <w:autoSpaceDN w:val="0"/>
        <w:bidi w:val="0"/>
        <w:adjustRightInd w:val="0"/>
        <w:jc w:val="right"/>
        <w:rPr>
          <w:b/>
          <w:bCs/>
          <w:color w:val="000000"/>
          <w:sz w:val="24"/>
          <w:szCs w:val="24"/>
          <w:u w:val="single"/>
          <w:lang w:bidi="ar-EG"/>
        </w:rPr>
      </w:pPr>
      <w:r w:rsidRPr="00FF4AA9">
        <w:rPr>
          <w:rFonts w:hint="cs"/>
          <w:b/>
          <w:bCs/>
          <w:color w:val="000000"/>
          <w:sz w:val="24"/>
          <w:szCs w:val="24"/>
          <w:u w:val="single"/>
          <w:rtl/>
          <w:lang w:bidi="ar-EG"/>
        </w:rPr>
        <w:t>الخلاصة :</w:t>
      </w:r>
    </w:p>
    <w:p w:rsidR="00FF4AA9" w:rsidRPr="00FF4AA9" w:rsidRDefault="00FF4AA9" w:rsidP="00386ADD">
      <w:pPr>
        <w:autoSpaceDE w:val="0"/>
        <w:autoSpaceDN w:val="0"/>
        <w:bidi w:val="0"/>
        <w:adjustRightInd w:val="0"/>
        <w:spacing w:line="240" w:lineRule="auto"/>
        <w:jc w:val="right"/>
        <w:rPr>
          <w:color w:val="000000"/>
          <w:sz w:val="24"/>
          <w:szCs w:val="24"/>
          <w:rtl/>
          <w:lang w:bidi="ar-EG"/>
        </w:rPr>
      </w:pPr>
      <w:r w:rsidRPr="00FF4AA9">
        <w:rPr>
          <w:rFonts w:hint="cs"/>
          <w:color w:val="000000"/>
          <w:sz w:val="24"/>
          <w:szCs w:val="24"/>
          <w:rtl/>
          <w:lang w:bidi="ar-EG"/>
        </w:rPr>
        <w:t xml:space="preserve">     من خلال نتائج الدراسة يتضح الآتي:</w:t>
      </w:r>
    </w:p>
    <w:p w:rsidR="00FF4AA9" w:rsidRPr="00FF4AA9" w:rsidRDefault="00FF4AA9" w:rsidP="00386ADD">
      <w:pPr>
        <w:autoSpaceDE w:val="0"/>
        <w:autoSpaceDN w:val="0"/>
        <w:bidi w:val="0"/>
        <w:adjustRightInd w:val="0"/>
        <w:spacing w:line="240" w:lineRule="auto"/>
        <w:jc w:val="right"/>
        <w:rPr>
          <w:color w:val="000000"/>
          <w:sz w:val="24"/>
          <w:szCs w:val="24"/>
          <w:rtl/>
          <w:lang w:bidi="ar-EG"/>
        </w:rPr>
      </w:pPr>
      <w:r w:rsidRPr="00FF4AA9">
        <w:rPr>
          <w:rFonts w:hint="cs"/>
          <w:color w:val="000000"/>
          <w:sz w:val="24"/>
          <w:szCs w:val="24"/>
          <w:rtl/>
          <w:lang w:bidi="ar-EG"/>
        </w:rPr>
        <w:t xml:space="preserve">1-فحص المقولة البصريه يعتبر بديل جيد عن فحص طبقة الالياف العصبيه لتشخيص المياةالزرقاء ولها اهمية خاصة في الحالات ذوي العصب البصري الصغير او الكبير او المعوج او ضمور طبقة الالياف العصبيه المحيطة بالعصب البصري او عندما لا نتمكن من تصوير العصب البصري </w:t>
      </w:r>
    </w:p>
    <w:p w:rsidR="00FF4AA9" w:rsidRPr="00FF4AA9" w:rsidRDefault="00FF4AA9" w:rsidP="00386ADD">
      <w:pPr>
        <w:autoSpaceDE w:val="0"/>
        <w:autoSpaceDN w:val="0"/>
        <w:bidi w:val="0"/>
        <w:adjustRightInd w:val="0"/>
        <w:spacing w:line="240" w:lineRule="auto"/>
        <w:jc w:val="right"/>
        <w:rPr>
          <w:color w:val="000000"/>
          <w:sz w:val="24"/>
          <w:szCs w:val="24"/>
          <w:rtl/>
          <w:lang w:bidi="ar-EG"/>
        </w:rPr>
      </w:pPr>
      <w:r w:rsidRPr="00FF4AA9">
        <w:rPr>
          <w:rFonts w:hint="cs"/>
          <w:color w:val="000000"/>
          <w:sz w:val="24"/>
          <w:szCs w:val="24"/>
          <w:rtl/>
          <w:lang w:bidi="ar-EG"/>
        </w:rPr>
        <w:t>2-لذلك فانه علينا اختبار مجال الابصار مع فحص المقولة البصريه وطبقة الالياف العصبية حول الحليمة البصرية  لكل المرضي المصابين اوالمتوقع إصابتهم  بالمياة الزرقاء الاولية حيث انه يساعد في التشخيص المبكر وبذلك يقلل وربما يمنع التلف الناتج عن المياة الزرقاء .</w:t>
      </w:r>
    </w:p>
    <w:p w:rsidR="00FF4AA9" w:rsidRDefault="00FF4AA9" w:rsidP="00FF4AA9">
      <w:pPr>
        <w:rPr>
          <w:rFonts w:asciiTheme="majorBidi" w:hAnsiTheme="majorBidi" w:cstheme="majorBidi" w:hint="cs"/>
          <w:sz w:val="24"/>
          <w:szCs w:val="24"/>
          <w:rtl/>
          <w:lang w:bidi="ar-EG"/>
        </w:rPr>
      </w:pPr>
    </w:p>
    <w:p w:rsidR="00F66DA3" w:rsidRPr="0051753D" w:rsidRDefault="00FF4AA9" w:rsidP="00FF4AA9">
      <w:pPr>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                           </w:t>
      </w:r>
    </w:p>
    <w:sectPr w:rsidR="00F66DA3" w:rsidRPr="0051753D" w:rsidSect="004F16C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C2A95"/>
    <w:multiLevelType w:val="hybridMultilevel"/>
    <w:tmpl w:val="0290B774"/>
    <w:lvl w:ilvl="0" w:tplc="0F2A3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947B29"/>
    <w:multiLevelType w:val="multilevel"/>
    <w:tmpl w:val="69A8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0B08"/>
    <w:rsid w:val="00004F5F"/>
    <w:rsid w:val="000364D2"/>
    <w:rsid w:val="00051CF9"/>
    <w:rsid w:val="00060B08"/>
    <w:rsid w:val="000B728D"/>
    <w:rsid w:val="000C1056"/>
    <w:rsid w:val="001E5F1B"/>
    <w:rsid w:val="002518C1"/>
    <w:rsid w:val="00266DCC"/>
    <w:rsid w:val="002859FB"/>
    <w:rsid w:val="003715F7"/>
    <w:rsid w:val="00386ADD"/>
    <w:rsid w:val="003D25EB"/>
    <w:rsid w:val="004F16C0"/>
    <w:rsid w:val="0051753D"/>
    <w:rsid w:val="00536115"/>
    <w:rsid w:val="005477C9"/>
    <w:rsid w:val="00564727"/>
    <w:rsid w:val="005D4DF2"/>
    <w:rsid w:val="005F14B5"/>
    <w:rsid w:val="00A167A2"/>
    <w:rsid w:val="00AA5960"/>
    <w:rsid w:val="00AC30D8"/>
    <w:rsid w:val="00C11960"/>
    <w:rsid w:val="00CA164D"/>
    <w:rsid w:val="00CE271E"/>
    <w:rsid w:val="00CF1B8F"/>
    <w:rsid w:val="00DD7DD0"/>
    <w:rsid w:val="00E0201A"/>
    <w:rsid w:val="00EA2DB4"/>
    <w:rsid w:val="00F66DA3"/>
    <w:rsid w:val="00F85F8C"/>
    <w:rsid w:val="00FB0405"/>
    <w:rsid w:val="00FF4A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B08"/>
    <w:pPr>
      <w:bidi/>
      <w:spacing w:after="0" w:line="480" w:lineRule="auto"/>
      <w:jc w:val="both"/>
    </w:pPr>
    <w:rPr>
      <w:rFonts w:eastAsiaTheme="minorEastAsia"/>
      <w:lang w:eastAsia="ja-JP"/>
    </w:rPr>
  </w:style>
  <w:style w:type="paragraph" w:styleId="Heading2">
    <w:name w:val="heading 2"/>
    <w:basedOn w:val="Normal"/>
    <w:link w:val="Heading2Char"/>
    <w:uiPriority w:val="9"/>
    <w:qFormat/>
    <w:rsid w:val="002518C1"/>
    <w:pPr>
      <w:bidi w:val="0"/>
      <w:spacing w:before="100" w:beforeAutospacing="1" w:after="100" w:afterAutospacing="1" w:line="240" w:lineRule="auto"/>
      <w:jc w:val="left"/>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B08"/>
    <w:rPr>
      <w:color w:val="0000FF" w:themeColor="hyperlink"/>
      <w:u w:val="single"/>
    </w:rPr>
  </w:style>
  <w:style w:type="paragraph" w:customStyle="1" w:styleId="Default">
    <w:name w:val="Default"/>
    <w:rsid w:val="00EA2D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2518C1"/>
    <w:rPr>
      <w:rFonts w:ascii="Times New Roman" w:eastAsia="Times New Roman" w:hAnsi="Times New Roman" w:cs="Times New Roman"/>
      <w:b/>
      <w:bCs/>
      <w:sz w:val="36"/>
      <w:szCs w:val="36"/>
    </w:rPr>
  </w:style>
  <w:style w:type="table" w:styleId="TableGrid">
    <w:name w:val="Table Grid"/>
    <w:basedOn w:val="TableNormal"/>
    <w:uiPriority w:val="39"/>
    <w:rsid w:val="005F1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16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64D"/>
    <w:rPr>
      <w:rFonts w:ascii="Tahoma" w:eastAsiaTheme="minorEastAsi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766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2018-06-03T19:00:00Z</dcterms:created>
  <dcterms:modified xsi:type="dcterms:W3CDTF">2018-07-19T12:42:00Z</dcterms:modified>
</cp:coreProperties>
</file>